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A0C766" w14:textId="77777777" w:rsidR="0027615A" w:rsidRPr="006816FD" w:rsidRDefault="0027615A">
      <w:pPr>
        <w:rPr>
          <w:rFonts w:ascii="Arial" w:hAnsi="Arial" w:cs="Arial"/>
          <w:sz w:val="20"/>
        </w:rPr>
      </w:pPr>
      <w:r w:rsidRPr="006816FD">
        <w:rPr>
          <w:rFonts w:ascii="Arial" w:hAnsi="Arial" w:cs="Arial"/>
          <w:noProof/>
          <w:sz w:val="20"/>
        </w:rPr>
        <w:drawing>
          <wp:anchor distT="0" distB="0" distL="114300" distR="114300" simplePos="0" relativeHeight="251691520" behindDoc="0" locked="0" layoutInCell="1" allowOverlap="1" wp14:anchorId="5E81A16C" wp14:editId="2E1A918A">
            <wp:simplePos x="0" y="0"/>
            <wp:positionH relativeFrom="column">
              <wp:posOffset>0</wp:posOffset>
            </wp:positionH>
            <wp:positionV relativeFrom="paragraph">
              <wp:posOffset>-326390</wp:posOffset>
            </wp:positionV>
            <wp:extent cx="5943600" cy="203200"/>
            <wp:effectExtent l="0" t="0" r="0" b="635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3600" cy="203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816FD">
        <w:rPr>
          <w:rFonts w:ascii="Arial" w:hAnsi="Arial" w:cs="Arial"/>
          <w:b/>
          <w:noProof/>
          <w:sz w:val="20"/>
        </w:rPr>
        <w:drawing>
          <wp:anchor distT="0" distB="0" distL="114300" distR="114300" simplePos="0" relativeHeight="251686400" behindDoc="0" locked="0" layoutInCell="1" allowOverlap="1" wp14:anchorId="4C4E24C9" wp14:editId="6CE62210">
            <wp:simplePos x="0" y="0"/>
            <wp:positionH relativeFrom="column">
              <wp:posOffset>4330065</wp:posOffset>
            </wp:positionH>
            <wp:positionV relativeFrom="paragraph">
              <wp:posOffset>-351790</wp:posOffset>
            </wp:positionV>
            <wp:extent cx="1607127" cy="228600"/>
            <wp:effectExtent l="0" t="0" r="0" b="0"/>
            <wp:wrapNone/>
            <wp:docPr id="14" name="Picture 14" descr="C:\Users\doliver\Pictures\MARTA\marta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oliver\Pictures\MARTA\marta logo.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38163" cy="233015"/>
                    </a:xfrm>
                    <a:prstGeom prst="rect">
                      <a:avLst/>
                    </a:prstGeom>
                    <a:noFill/>
                    <a:ln>
                      <a:noFill/>
                    </a:ln>
                  </pic:spPr>
                </pic:pic>
              </a:graphicData>
            </a:graphic>
            <wp14:sizeRelH relativeFrom="margin">
              <wp14:pctWidth>0</wp14:pctWidth>
            </wp14:sizeRelH>
            <wp14:sizeRelV relativeFrom="margin">
              <wp14:pctHeight>0</wp14:pctHeight>
            </wp14:sizeRelV>
          </wp:anchor>
        </w:drawing>
      </w:r>
    </w:p>
    <w:sdt>
      <w:sdtPr>
        <w:rPr>
          <w:rFonts w:ascii="Arial" w:hAnsi="Arial" w:cs="Arial"/>
          <w:sz w:val="20"/>
        </w:rPr>
        <w:id w:val="10523086"/>
        <w:docPartObj>
          <w:docPartGallery w:val="Cover Pages"/>
          <w:docPartUnique/>
        </w:docPartObj>
      </w:sdtPr>
      <w:sdtEndPr>
        <w:rPr>
          <w:b/>
        </w:rPr>
      </w:sdtEndPr>
      <w:sdtContent>
        <w:p w14:paraId="410E90E3" w14:textId="77777777" w:rsidR="00A35A10" w:rsidRPr="006816FD" w:rsidRDefault="00A35A10">
          <w:pPr>
            <w:rPr>
              <w:rFonts w:ascii="Arial" w:hAnsi="Arial" w:cs="Arial"/>
              <w:sz w:val="20"/>
            </w:rPr>
          </w:pPr>
        </w:p>
        <w:tbl>
          <w:tblPr>
            <w:tblpPr w:leftFromText="187" w:rightFromText="187" w:vertAnchor="page" w:horzAnchor="margin" w:tblpY="1873"/>
            <w:tblW w:w="5000" w:type="pct"/>
            <w:tblCellMar>
              <w:top w:w="216" w:type="dxa"/>
              <w:left w:w="216" w:type="dxa"/>
              <w:bottom w:w="216" w:type="dxa"/>
              <w:right w:w="216" w:type="dxa"/>
            </w:tblCellMar>
            <w:tblLook w:val="04A0" w:firstRow="1" w:lastRow="0" w:firstColumn="1" w:lastColumn="0" w:noHBand="0" w:noVBand="1"/>
          </w:tblPr>
          <w:tblGrid>
            <w:gridCol w:w="5834"/>
            <w:gridCol w:w="3526"/>
          </w:tblGrid>
          <w:tr w:rsidR="00A35A10" w:rsidRPr="006816FD" w14:paraId="49DC0AFA" w14:textId="77777777" w:rsidTr="0026177E">
            <w:trPr>
              <w:trHeight w:val="2160"/>
            </w:trPr>
            <w:tc>
              <w:tcPr>
                <w:tcW w:w="5706" w:type="dxa"/>
                <w:tcBorders>
                  <w:bottom w:val="single" w:sz="18" w:space="0" w:color="808080" w:themeColor="background1" w:themeShade="80"/>
                  <w:right w:val="single" w:sz="18" w:space="0" w:color="808080" w:themeColor="background1" w:themeShade="80"/>
                </w:tcBorders>
                <w:vAlign w:val="center"/>
              </w:tcPr>
              <w:p w14:paraId="66D91F77" w14:textId="77777777" w:rsidR="00A35A10" w:rsidRPr="00A0657C" w:rsidRDefault="00A35A10" w:rsidP="0026177E">
                <w:pPr>
                  <w:pStyle w:val="NoSpacing"/>
                  <w:rPr>
                    <w:rFonts w:ascii="Arial" w:eastAsiaTheme="majorEastAsia" w:hAnsi="Arial" w:cs="Arial"/>
                    <w:sz w:val="72"/>
                    <w:szCs w:val="72"/>
                  </w:rPr>
                </w:pPr>
                <w:r w:rsidRPr="00A0657C">
                  <w:rPr>
                    <w:rFonts w:ascii="Arial" w:eastAsiaTheme="majorEastAsia" w:hAnsi="Arial" w:cs="Arial"/>
                    <w:sz w:val="72"/>
                    <w:szCs w:val="72"/>
                  </w:rPr>
                  <w:t>MARTA NON-REPRESENTED PENSION PLAN</w:t>
                </w:r>
              </w:p>
            </w:tc>
            <w:tc>
              <w:tcPr>
                <w:tcW w:w="4086" w:type="dxa"/>
                <w:tcBorders>
                  <w:left w:val="single" w:sz="18" w:space="0" w:color="808080" w:themeColor="background1" w:themeShade="80"/>
                  <w:bottom w:val="single" w:sz="18" w:space="0" w:color="808080" w:themeColor="background1" w:themeShade="80"/>
                </w:tcBorders>
                <w:vAlign w:val="center"/>
              </w:tcPr>
              <w:p w14:paraId="3299119E" w14:textId="77777777" w:rsidR="00A35A10" w:rsidRPr="000C72A0" w:rsidRDefault="00A35A10" w:rsidP="0026177E">
                <w:pPr>
                  <w:pStyle w:val="NoSpacing"/>
                  <w:rPr>
                    <w:rFonts w:ascii="Arial" w:eastAsiaTheme="majorEastAsia" w:hAnsi="Arial" w:cs="Arial"/>
                    <w:sz w:val="36"/>
                    <w:szCs w:val="36"/>
                  </w:rPr>
                </w:pPr>
                <w:r w:rsidRPr="000C72A0">
                  <w:rPr>
                    <w:rFonts w:ascii="Arial" w:eastAsiaTheme="majorEastAsia" w:hAnsi="Arial" w:cs="Arial"/>
                    <w:sz w:val="36"/>
                    <w:szCs w:val="36"/>
                  </w:rPr>
                  <w:t>As of December 31</w:t>
                </w:r>
              </w:p>
              <w:p w14:paraId="354597C4" w14:textId="1FD5971E" w:rsidR="00A35A10" w:rsidRPr="000C72A0" w:rsidRDefault="00A35A10" w:rsidP="00F826D1">
                <w:pPr>
                  <w:pStyle w:val="NoSpacing"/>
                  <w:rPr>
                    <w:rFonts w:ascii="Arial" w:hAnsi="Arial" w:cs="Arial"/>
                    <w:sz w:val="130"/>
                    <w:szCs w:val="130"/>
                  </w:rPr>
                </w:pPr>
                <w:r w:rsidRPr="000C72A0">
                  <w:rPr>
                    <w:rFonts w:ascii="Arial" w:hAnsi="Arial" w:cs="Arial"/>
                    <w:sz w:val="130"/>
                    <w:szCs w:val="130"/>
                  </w:rPr>
                  <w:t>20</w:t>
                </w:r>
                <w:r w:rsidR="00AC482E">
                  <w:rPr>
                    <w:rFonts w:ascii="Arial" w:hAnsi="Arial" w:cs="Arial"/>
                    <w:sz w:val="130"/>
                    <w:szCs w:val="130"/>
                  </w:rPr>
                  <w:t>2</w:t>
                </w:r>
                <w:r w:rsidR="00357BA3">
                  <w:rPr>
                    <w:rFonts w:ascii="Arial" w:hAnsi="Arial" w:cs="Arial"/>
                    <w:sz w:val="130"/>
                    <w:szCs w:val="130"/>
                  </w:rPr>
                  <w:t>1</w:t>
                </w:r>
              </w:p>
            </w:tc>
          </w:tr>
        </w:tbl>
        <w:p w14:paraId="199DEB52" w14:textId="77777777" w:rsidR="00A35A10" w:rsidRPr="006816FD" w:rsidRDefault="00362027">
          <w:pPr>
            <w:rPr>
              <w:rFonts w:ascii="Arial" w:hAnsi="Arial" w:cs="Arial"/>
              <w:sz w:val="20"/>
            </w:rPr>
          </w:pPr>
        </w:p>
      </w:sdtContent>
    </w:sdt>
    <w:p w14:paraId="5A595BBD" w14:textId="77777777" w:rsidR="00281C89" w:rsidRPr="006816FD" w:rsidRDefault="00281C89" w:rsidP="00281C89">
      <w:pPr>
        <w:rPr>
          <w:rFonts w:ascii="Arial" w:hAnsi="Arial" w:cs="Arial"/>
          <w:sz w:val="20"/>
        </w:rPr>
      </w:pPr>
    </w:p>
    <w:p w14:paraId="31214F48" w14:textId="77777777" w:rsidR="00281C89" w:rsidRPr="006816FD" w:rsidRDefault="00281C89" w:rsidP="00281C89">
      <w:pPr>
        <w:rPr>
          <w:rFonts w:ascii="Arial" w:hAnsi="Arial" w:cs="Arial"/>
          <w:sz w:val="20"/>
        </w:rPr>
      </w:pPr>
      <w:r w:rsidRPr="006816FD">
        <w:rPr>
          <w:rFonts w:ascii="Arial" w:hAnsi="Arial" w:cs="Arial"/>
          <w:sz w:val="20"/>
        </w:rPr>
        <w:t>Dear Plan Participant</w:t>
      </w:r>
      <w:r w:rsidR="001F4B94" w:rsidRPr="006816FD">
        <w:rPr>
          <w:rFonts w:ascii="Arial" w:hAnsi="Arial" w:cs="Arial"/>
          <w:sz w:val="20"/>
        </w:rPr>
        <w:t>s</w:t>
      </w:r>
      <w:r w:rsidRPr="006816FD">
        <w:rPr>
          <w:rFonts w:ascii="Arial" w:hAnsi="Arial" w:cs="Arial"/>
          <w:sz w:val="20"/>
        </w:rPr>
        <w:t>:</w:t>
      </w:r>
    </w:p>
    <w:p w14:paraId="65EB4D07" w14:textId="77777777" w:rsidR="00156A6A" w:rsidRPr="006816FD" w:rsidRDefault="008A715A" w:rsidP="00281C89">
      <w:pPr>
        <w:rPr>
          <w:rFonts w:ascii="Arial" w:hAnsi="Arial" w:cs="Arial"/>
          <w:sz w:val="20"/>
        </w:rPr>
      </w:pPr>
      <w:r w:rsidRPr="006816FD">
        <w:rPr>
          <w:rFonts w:ascii="Arial" w:hAnsi="Arial" w:cs="Arial"/>
          <w:sz w:val="20"/>
        </w:rPr>
        <w:t xml:space="preserve"> </w:t>
      </w:r>
    </w:p>
    <w:p w14:paraId="0EF6F783" w14:textId="77777777" w:rsidR="00281C89" w:rsidRPr="006816FD" w:rsidRDefault="00281C89" w:rsidP="00281C89">
      <w:pPr>
        <w:rPr>
          <w:rFonts w:ascii="Arial" w:hAnsi="Arial" w:cs="Arial"/>
          <w:sz w:val="20"/>
        </w:rPr>
      </w:pPr>
    </w:p>
    <w:p w14:paraId="33821AA2" w14:textId="6D86D62D" w:rsidR="00281C89" w:rsidRPr="006816FD" w:rsidRDefault="00281C89" w:rsidP="00281C89">
      <w:pPr>
        <w:rPr>
          <w:rFonts w:ascii="Arial" w:hAnsi="Arial" w:cs="Arial"/>
          <w:sz w:val="20"/>
        </w:rPr>
      </w:pPr>
      <w:r w:rsidRPr="006816FD">
        <w:rPr>
          <w:rFonts w:ascii="Arial" w:hAnsi="Arial" w:cs="Arial"/>
          <w:sz w:val="20"/>
        </w:rPr>
        <w:t>The summary</w:t>
      </w:r>
      <w:r w:rsidR="005329F4" w:rsidRPr="006816FD">
        <w:rPr>
          <w:rFonts w:ascii="Arial" w:hAnsi="Arial" w:cs="Arial"/>
          <w:sz w:val="20"/>
        </w:rPr>
        <w:t xml:space="preserve"> </w:t>
      </w:r>
      <w:r w:rsidRPr="006816FD">
        <w:rPr>
          <w:rFonts w:ascii="Arial" w:hAnsi="Arial" w:cs="Arial"/>
          <w:sz w:val="20"/>
        </w:rPr>
        <w:t xml:space="preserve">annual report covering the MARTA Non-Represented </w:t>
      </w:r>
      <w:r w:rsidR="00620618" w:rsidRPr="006816FD">
        <w:rPr>
          <w:rFonts w:ascii="Arial" w:hAnsi="Arial" w:cs="Arial"/>
          <w:sz w:val="20"/>
        </w:rPr>
        <w:t>Pension</w:t>
      </w:r>
      <w:r w:rsidRPr="006816FD">
        <w:rPr>
          <w:rFonts w:ascii="Arial" w:hAnsi="Arial" w:cs="Arial"/>
          <w:sz w:val="20"/>
        </w:rPr>
        <w:t xml:space="preserve"> Plan </w:t>
      </w:r>
      <w:r w:rsidR="00E56470" w:rsidRPr="006816FD">
        <w:rPr>
          <w:rFonts w:ascii="Arial" w:hAnsi="Arial" w:cs="Arial"/>
          <w:sz w:val="20"/>
        </w:rPr>
        <w:t>(</w:t>
      </w:r>
      <w:r w:rsidR="005346B9">
        <w:rPr>
          <w:rFonts w:ascii="Arial" w:hAnsi="Arial" w:cs="Arial"/>
          <w:sz w:val="20"/>
        </w:rPr>
        <w:t>t</w:t>
      </w:r>
      <w:r w:rsidR="00E56470" w:rsidRPr="006816FD">
        <w:rPr>
          <w:rFonts w:ascii="Arial" w:hAnsi="Arial" w:cs="Arial"/>
          <w:sz w:val="20"/>
        </w:rPr>
        <w:t xml:space="preserve">he </w:t>
      </w:r>
      <w:r w:rsidR="005346B9">
        <w:rPr>
          <w:rFonts w:ascii="Arial" w:hAnsi="Arial" w:cs="Arial"/>
          <w:sz w:val="20"/>
        </w:rPr>
        <w:t>“</w:t>
      </w:r>
      <w:r w:rsidR="00E56470" w:rsidRPr="006816FD">
        <w:rPr>
          <w:rFonts w:ascii="Arial" w:hAnsi="Arial" w:cs="Arial"/>
          <w:sz w:val="20"/>
        </w:rPr>
        <w:t xml:space="preserve">Plan”) </w:t>
      </w:r>
      <w:r w:rsidRPr="006816FD">
        <w:rPr>
          <w:rFonts w:ascii="Arial" w:hAnsi="Arial" w:cs="Arial"/>
          <w:sz w:val="20"/>
        </w:rPr>
        <w:t>for the period</w:t>
      </w:r>
      <w:r w:rsidR="00620618" w:rsidRPr="006816FD">
        <w:rPr>
          <w:rFonts w:ascii="Arial" w:hAnsi="Arial" w:cs="Arial"/>
          <w:sz w:val="20"/>
        </w:rPr>
        <w:t xml:space="preserve"> January 1, 20</w:t>
      </w:r>
      <w:r w:rsidR="00AC482E">
        <w:rPr>
          <w:rFonts w:ascii="Arial" w:hAnsi="Arial" w:cs="Arial"/>
          <w:sz w:val="20"/>
        </w:rPr>
        <w:t>2</w:t>
      </w:r>
      <w:r w:rsidR="00357BA3">
        <w:rPr>
          <w:rFonts w:ascii="Arial" w:hAnsi="Arial" w:cs="Arial"/>
          <w:sz w:val="20"/>
        </w:rPr>
        <w:t>1</w:t>
      </w:r>
      <w:r w:rsidR="00620618" w:rsidRPr="006816FD">
        <w:rPr>
          <w:rFonts w:ascii="Arial" w:hAnsi="Arial" w:cs="Arial"/>
          <w:sz w:val="20"/>
        </w:rPr>
        <w:t xml:space="preserve"> through December 31, 20</w:t>
      </w:r>
      <w:r w:rsidR="00AC482E">
        <w:rPr>
          <w:rFonts w:ascii="Arial" w:hAnsi="Arial" w:cs="Arial"/>
          <w:sz w:val="20"/>
        </w:rPr>
        <w:t>2</w:t>
      </w:r>
      <w:r w:rsidR="00357BA3">
        <w:rPr>
          <w:rFonts w:ascii="Arial" w:hAnsi="Arial" w:cs="Arial"/>
          <w:sz w:val="20"/>
        </w:rPr>
        <w:t>1</w:t>
      </w:r>
      <w:r w:rsidR="00620618" w:rsidRPr="006816FD">
        <w:rPr>
          <w:rFonts w:ascii="Arial" w:hAnsi="Arial" w:cs="Arial"/>
          <w:sz w:val="20"/>
        </w:rPr>
        <w:t>, in compliance with the MARTA Act of 1965, as amended, is attached for your review.</w:t>
      </w:r>
    </w:p>
    <w:p w14:paraId="21447B9D" w14:textId="77777777" w:rsidR="00CF6842" w:rsidRPr="006816FD" w:rsidRDefault="00CF6842" w:rsidP="00281C89">
      <w:pPr>
        <w:rPr>
          <w:rFonts w:ascii="Arial" w:hAnsi="Arial" w:cs="Arial"/>
          <w:sz w:val="20"/>
        </w:rPr>
      </w:pPr>
    </w:p>
    <w:p w14:paraId="5B4709CE" w14:textId="758D99A1" w:rsidR="00A35A10" w:rsidRPr="006816FD" w:rsidRDefault="0035438B" w:rsidP="00281C89">
      <w:pPr>
        <w:rPr>
          <w:rFonts w:ascii="Arial" w:hAnsi="Arial" w:cs="Arial"/>
          <w:sz w:val="20"/>
        </w:rPr>
      </w:pPr>
      <w:r w:rsidRPr="006816FD">
        <w:rPr>
          <w:rFonts w:ascii="Arial" w:hAnsi="Arial" w:cs="Arial"/>
          <w:sz w:val="20"/>
        </w:rPr>
        <w:t xml:space="preserve">The Plan’s net assets held in trust for pension benefits </w:t>
      </w:r>
      <w:r w:rsidR="008C5618">
        <w:rPr>
          <w:rFonts w:ascii="Arial" w:hAnsi="Arial" w:cs="Arial"/>
          <w:sz w:val="20"/>
        </w:rPr>
        <w:t>increased</w:t>
      </w:r>
      <w:r w:rsidRPr="006816FD">
        <w:rPr>
          <w:rFonts w:ascii="Arial" w:hAnsi="Arial" w:cs="Arial"/>
          <w:sz w:val="20"/>
        </w:rPr>
        <w:t xml:space="preserve"> from </w:t>
      </w:r>
      <w:r w:rsidR="008C5618" w:rsidRPr="006816FD">
        <w:rPr>
          <w:rFonts w:ascii="Arial" w:hAnsi="Arial" w:cs="Arial"/>
          <w:sz w:val="20"/>
        </w:rPr>
        <w:t>$</w:t>
      </w:r>
      <w:r w:rsidR="00357BA3" w:rsidRPr="00357BA3">
        <w:rPr>
          <w:rFonts w:ascii="Arial" w:hAnsi="Arial" w:cs="Arial"/>
          <w:sz w:val="20"/>
        </w:rPr>
        <w:t xml:space="preserve">468,500,009 </w:t>
      </w:r>
      <w:r w:rsidR="00E56470" w:rsidRPr="006816FD">
        <w:rPr>
          <w:rFonts w:ascii="Arial" w:hAnsi="Arial" w:cs="Arial"/>
          <w:sz w:val="20"/>
        </w:rPr>
        <w:t>on</w:t>
      </w:r>
      <w:r w:rsidRPr="006816FD">
        <w:rPr>
          <w:rFonts w:ascii="Arial" w:hAnsi="Arial" w:cs="Arial"/>
          <w:sz w:val="20"/>
        </w:rPr>
        <w:t xml:space="preserve"> December 31, 20</w:t>
      </w:r>
      <w:r w:rsidR="00357BA3">
        <w:rPr>
          <w:rFonts w:ascii="Arial" w:hAnsi="Arial" w:cs="Arial"/>
          <w:sz w:val="20"/>
        </w:rPr>
        <w:t>20</w:t>
      </w:r>
      <w:r w:rsidRPr="006816FD">
        <w:rPr>
          <w:rFonts w:ascii="Arial" w:hAnsi="Arial" w:cs="Arial"/>
          <w:sz w:val="20"/>
        </w:rPr>
        <w:t xml:space="preserve"> to $</w:t>
      </w:r>
      <w:bookmarkStart w:id="0" w:name="_Hlk86847453"/>
      <w:r w:rsidR="00357BA3" w:rsidRPr="00357BA3">
        <w:rPr>
          <w:rFonts w:ascii="Arial" w:hAnsi="Arial" w:cs="Arial"/>
          <w:sz w:val="20"/>
        </w:rPr>
        <w:t>505,</w:t>
      </w:r>
      <w:r w:rsidR="00C758EC">
        <w:rPr>
          <w:rFonts w:ascii="Arial" w:hAnsi="Arial" w:cs="Arial"/>
          <w:sz w:val="20"/>
        </w:rPr>
        <w:t>496,135</w:t>
      </w:r>
      <w:r w:rsidR="00357BA3">
        <w:rPr>
          <w:rFonts w:ascii="Arial" w:hAnsi="Arial" w:cs="Arial"/>
          <w:sz w:val="20"/>
        </w:rPr>
        <w:t xml:space="preserve"> </w:t>
      </w:r>
      <w:bookmarkEnd w:id="0"/>
      <w:r w:rsidRPr="006816FD">
        <w:rPr>
          <w:rFonts w:ascii="Arial" w:hAnsi="Arial" w:cs="Arial"/>
          <w:sz w:val="20"/>
        </w:rPr>
        <w:t>as of December 31, 20</w:t>
      </w:r>
      <w:r w:rsidR="00AC482E">
        <w:rPr>
          <w:rFonts w:ascii="Arial" w:hAnsi="Arial" w:cs="Arial"/>
          <w:sz w:val="20"/>
        </w:rPr>
        <w:t>2</w:t>
      </w:r>
      <w:r w:rsidR="00357BA3">
        <w:rPr>
          <w:rFonts w:ascii="Arial" w:hAnsi="Arial" w:cs="Arial"/>
          <w:sz w:val="20"/>
        </w:rPr>
        <w:t>1</w:t>
      </w:r>
      <w:r w:rsidRPr="006816FD">
        <w:rPr>
          <w:rFonts w:ascii="Arial" w:hAnsi="Arial" w:cs="Arial"/>
          <w:sz w:val="20"/>
        </w:rPr>
        <w:t>.</w:t>
      </w:r>
    </w:p>
    <w:p w14:paraId="4F500086" w14:textId="77777777" w:rsidR="00A35A10" w:rsidRPr="006816FD" w:rsidRDefault="00A35A10" w:rsidP="00281C89">
      <w:pPr>
        <w:rPr>
          <w:rFonts w:ascii="Arial" w:hAnsi="Arial" w:cs="Arial"/>
          <w:sz w:val="20"/>
        </w:rPr>
      </w:pPr>
    </w:p>
    <w:p w14:paraId="4B30E29B" w14:textId="77777777" w:rsidR="00CF6842" w:rsidRPr="006816FD" w:rsidRDefault="0035438B" w:rsidP="00281C89">
      <w:pPr>
        <w:rPr>
          <w:rFonts w:ascii="Arial" w:hAnsi="Arial" w:cs="Arial"/>
          <w:sz w:val="20"/>
        </w:rPr>
      </w:pPr>
      <w:r w:rsidRPr="006816FD">
        <w:rPr>
          <w:rFonts w:ascii="Arial" w:hAnsi="Arial" w:cs="Arial"/>
          <w:sz w:val="20"/>
        </w:rPr>
        <w:t xml:space="preserve">The </w:t>
      </w:r>
      <w:r w:rsidR="00CF6842" w:rsidRPr="006816FD">
        <w:rPr>
          <w:rFonts w:ascii="Arial" w:hAnsi="Arial" w:cs="Arial"/>
          <w:sz w:val="20"/>
        </w:rPr>
        <w:t xml:space="preserve">MARTA </w:t>
      </w:r>
      <w:r w:rsidR="005346B9">
        <w:rPr>
          <w:rFonts w:ascii="Arial" w:hAnsi="Arial" w:cs="Arial"/>
          <w:sz w:val="20"/>
        </w:rPr>
        <w:t xml:space="preserve">Management </w:t>
      </w:r>
      <w:r w:rsidRPr="006816FD">
        <w:rPr>
          <w:rFonts w:ascii="Arial" w:hAnsi="Arial" w:cs="Arial"/>
          <w:sz w:val="20"/>
        </w:rPr>
        <w:t xml:space="preserve">Pension Committee and MARTA </w:t>
      </w:r>
      <w:r w:rsidR="00CF6842" w:rsidRPr="006816FD">
        <w:rPr>
          <w:rFonts w:ascii="Arial" w:hAnsi="Arial" w:cs="Arial"/>
          <w:sz w:val="20"/>
        </w:rPr>
        <w:t xml:space="preserve">management continue </w:t>
      </w:r>
      <w:r w:rsidRPr="006816FD">
        <w:rPr>
          <w:rFonts w:ascii="Arial" w:hAnsi="Arial" w:cs="Arial"/>
          <w:sz w:val="20"/>
        </w:rPr>
        <w:t>t</w:t>
      </w:r>
      <w:r w:rsidR="00CF6842" w:rsidRPr="006816FD">
        <w:rPr>
          <w:rFonts w:ascii="Arial" w:hAnsi="Arial" w:cs="Arial"/>
          <w:sz w:val="20"/>
        </w:rPr>
        <w:t xml:space="preserve">o actively review the Plan’s </w:t>
      </w:r>
      <w:r w:rsidR="00EF302C" w:rsidRPr="006816FD">
        <w:rPr>
          <w:rFonts w:ascii="Arial" w:hAnsi="Arial" w:cs="Arial"/>
          <w:sz w:val="20"/>
        </w:rPr>
        <w:t>performance and</w:t>
      </w:r>
      <w:r w:rsidR="00CF6842" w:rsidRPr="006816FD">
        <w:rPr>
          <w:rFonts w:ascii="Arial" w:hAnsi="Arial" w:cs="Arial"/>
          <w:sz w:val="20"/>
        </w:rPr>
        <w:t xml:space="preserve"> take appropriate measures to </w:t>
      </w:r>
      <w:r w:rsidRPr="006816FD">
        <w:rPr>
          <w:rFonts w:ascii="Arial" w:hAnsi="Arial" w:cs="Arial"/>
          <w:sz w:val="20"/>
        </w:rPr>
        <w:t>ensure that the Plan’s current and future funding requirements are met.</w:t>
      </w:r>
    </w:p>
    <w:p w14:paraId="2D722A8D" w14:textId="77777777" w:rsidR="00CF6842" w:rsidRPr="006816FD" w:rsidRDefault="00CF6842" w:rsidP="00281C89">
      <w:pPr>
        <w:rPr>
          <w:rFonts w:ascii="Arial" w:hAnsi="Arial" w:cs="Arial"/>
          <w:sz w:val="20"/>
        </w:rPr>
      </w:pPr>
    </w:p>
    <w:p w14:paraId="0FD73FB0" w14:textId="49AC0040" w:rsidR="00CF6842" w:rsidRPr="006816FD" w:rsidRDefault="0035438B" w:rsidP="00281C89">
      <w:pPr>
        <w:rPr>
          <w:rFonts w:ascii="Arial" w:hAnsi="Arial" w:cs="Arial"/>
          <w:sz w:val="20"/>
        </w:rPr>
      </w:pPr>
      <w:r w:rsidRPr="006816FD">
        <w:rPr>
          <w:rFonts w:ascii="Arial" w:hAnsi="Arial" w:cs="Arial"/>
          <w:sz w:val="20"/>
        </w:rPr>
        <w:t xml:space="preserve">We encourage you to read the report in its entirety.  If you would like additional information about the Plan or the annual report, please contact </w:t>
      </w:r>
      <w:r w:rsidR="00D703C0" w:rsidRPr="006816FD">
        <w:rPr>
          <w:rFonts w:ascii="Arial" w:hAnsi="Arial" w:cs="Arial"/>
          <w:sz w:val="20"/>
        </w:rPr>
        <w:t>Andrea Giles</w:t>
      </w:r>
      <w:r w:rsidRPr="006816FD">
        <w:rPr>
          <w:rFonts w:ascii="Arial" w:hAnsi="Arial" w:cs="Arial"/>
          <w:sz w:val="20"/>
        </w:rPr>
        <w:t xml:space="preserve">, </w:t>
      </w:r>
      <w:r w:rsidR="00851475">
        <w:rPr>
          <w:rFonts w:ascii="Arial" w:hAnsi="Arial" w:cs="Arial"/>
          <w:sz w:val="20"/>
        </w:rPr>
        <w:t xml:space="preserve">Sr. </w:t>
      </w:r>
      <w:r w:rsidR="00E06F1B" w:rsidRPr="006816FD">
        <w:rPr>
          <w:rFonts w:ascii="Arial" w:hAnsi="Arial" w:cs="Arial"/>
          <w:sz w:val="20"/>
        </w:rPr>
        <w:t xml:space="preserve">Retirement Benefits </w:t>
      </w:r>
      <w:r w:rsidR="000605DF" w:rsidRPr="006816FD">
        <w:rPr>
          <w:rFonts w:ascii="Arial" w:hAnsi="Arial" w:cs="Arial"/>
          <w:sz w:val="20"/>
        </w:rPr>
        <w:t>Analyst</w:t>
      </w:r>
      <w:r w:rsidR="00E06F1B" w:rsidRPr="006816FD">
        <w:rPr>
          <w:rFonts w:ascii="Arial" w:hAnsi="Arial" w:cs="Arial"/>
          <w:sz w:val="20"/>
        </w:rPr>
        <w:t>, at 404-848-</w:t>
      </w:r>
      <w:r w:rsidR="00D703C0" w:rsidRPr="006816FD">
        <w:rPr>
          <w:rFonts w:ascii="Arial" w:hAnsi="Arial" w:cs="Arial"/>
          <w:sz w:val="20"/>
        </w:rPr>
        <w:t xml:space="preserve">5393 </w:t>
      </w:r>
      <w:r w:rsidR="00E06F1B" w:rsidRPr="006816FD">
        <w:rPr>
          <w:rFonts w:ascii="Arial" w:hAnsi="Arial" w:cs="Arial"/>
          <w:sz w:val="20"/>
        </w:rPr>
        <w:t>or me at 404-848-</w:t>
      </w:r>
      <w:r w:rsidR="00D703C0" w:rsidRPr="006816FD">
        <w:rPr>
          <w:rFonts w:ascii="Arial" w:hAnsi="Arial" w:cs="Arial"/>
          <w:sz w:val="20"/>
        </w:rPr>
        <w:t>5778</w:t>
      </w:r>
      <w:r w:rsidR="00E06F1B" w:rsidRPr="006816FD">
        <w:rPr>
          <w:rFonts w:ascii="Arial" w:hAnsi="Arial" w:cs="Arial"/>
          <w:sz w:val="20"/>
        </w:rPr>
        <w:t>.</w:t>
      </w:r>
    </w:p>
    <w:p w14:paraId="4FB2FBF5" w14:textId="77777777" w:rsidR="00E06F1B" w:rsidRPr="006816FD" w:rsidRDefault="00E06F1B" w:rsidP="00281C89">
      <w:pPr>
        <w:rPr>
          <w:rFonts w:ascii="Arial" w:hAnsi="Arial" w:cs="Arial"/>
          <w:sz w:val="20"/>
        </w:rPr>
      </w:pPr>
    </w:p>
    <w:p w14:paraId="2078C89D" w14:textId="77777777" w:rsidR="00E06F1B" w:rsidRPr="006816FD" w:rsidRDefault="00DB07D1" w:rsidP="00281C89">
      <w:pPr>
        <w:rPr>
          <w:rFonts w:ascii="Arial" w:hAnsi="Arial" w:cs="Arial"/>
          <w:sz w:val="20"/>
        </w:rPr>
      </w:pPr>
      <w:r w:rsidRPr="006816FD">
        <w:rPr>
          <w:rFonts w:ascii="Arial" w:hAnsi="Arial" w:cs="Arial"/>
          <w:sz w:val="20"/>
        </w:rPr>
        <w:t>T</w:t>
      </w:r>
      <w:r w:rsidR="00E06F1B" w:rsidRPr="006816FD">
        <w:rPr>
          <w:rFonts w:ascii="Arial" w:hAnsi="Arial" w:cs="Arial"/>
          <w:sz w:val="20"/>
        </w:rPr>
        <w:t xml:space="preserve">he Authority </w:t>
      </w:r>
      <w:r w:rsidRPr="006816FD">
        <w:rPr>
          <w:rFonts w:ascii="Arial" w:hAnsi="Arial" w:cs="Arial"/>
          <w:sz w:val="20"/>
        </w:rPr>
        <w:t>remains</w:t>
      </w:r>
      <w:r w:rsidR="00E06F1B" w:rsidRPr="006816FD">
        <w:rPr>
          <w:rFonts w:ascii="Arial" w:hAnsi="Arial" w:cs="Arial"/>
          <w:sz w:val="20"/>
        </w:rPr>
        <w:t xml:space="preserve"> committed to providing the benefits promised through the Non-Represented Pension Plan for </w:t>
      </w:r>
      <w:r w:rsidRPr="006816FD">
        <w:rPr>
          <w:rFonts w:ascii="Arial" w:hAnsi="Arial" w:cs="Arial"/>
          <w:sz w:val="20"/>
        </w:rPr>
        <w:t>employee</w:t>
      </w:r>
      <w:r w:rsidR="00E06F1B" w:rsidRPr="006816FD">
        <w:rPr>
          <w:rFonts w:ascii="Arial" w:hAnsi="Arial" w:cs="Arial"/>
          <w:sz w:val="20"/>
        </w:rPr>
        <w:t>s and their families.</w:t>
      </w:r>
    </w:p>
    <w:p w14:paraId="54B4E402" w14:textId="77777777" w:rsidR="00E06F1B" w:rsidRPr="006816FD" w:rsidRDefault="00E06F1B" w:rsidP="00281C89">
      <w:pPr>
        <w:rPr>
          <w:rFonts w:ascii="Arial" w:hAnsi="Arial" w:cs="Arial"/>
          <w:sz w:val="20"/>
        </w:rPr>
      </w:pPr>
    </w:p>
    <w:p w14:paraId="3A9C0AAD" w14:textId="41EDE07E" w:rsidR="00E06F1B" w:rsidRPr="006816FD" w:rsidRDefault="00E06F1B" w:rsidP="00281C89">
      <w:pPr>
        <w:rPr>
          <w:rFonts w:ascii="Arial" w:hAnsi="Arial" w:cs="Arial"/>
          <w:sz w:val="20"/>
        </w:rPr>
      </w:pPr>
      <w:r w:rsidRPr="006816FD">
        <w:rPr>
          <w:rFonts w:ascii="Arial" w:hAnsi="Arial" w:cs="Arial"/>
          <w:sz w:val="20"/>
        </w:rPr>
        <w:t>Sincerely,</w:t>
      </w:r>
    </w:p>
    <w:p w14:paraId="0F52628C" w14:textId="16EB445D" w:rsidR="00E06F1B" w:rsidRPr="006816FD" w:rsidRDefault="00032598" w:rsidP="00281C89">
      <w:pPr>
        <w:rPr>
          <w:rFonts w:ascii="Arial" w:hAnsi="Arial" w:cs="Arial"/>
          <w:sz w:val="20"/>
        </w:rPr>
      </w:pPr>
      <w:r>
        <w:rPr>
          <w:rFonts w:ascii="Calibri" w:hAnsi="Calibri" w:cs="Calibri"/>
          <w:noProof/>
          <w:sz w:val="22"/>
          <w:szCs w:val="22"/>
        </w:rPr>
        <w:drawing>
          <wp:anchor distT="0" distB="0" distL="114300" distR="114300" simplePos="0" relativeHeight="251692544" behindDoc="0" locked="0" layoutInCell="1" allowOverlap="1" wp14:anchorId="05A36262" wp14:editId="4758968D">
            <wp:simplePos x="0" y="0"/>
            <wp:positionH relativeFrom="margin">
              <wp:posOffset>-19050</wp:posOffset>
            </wp:positionH>
            <wp:positionV relativeFrom="paragraph">
              <wp:posOffset>42545</wp:posOffset>
            </wp:positionV>
            <wp:extent cx="2197244" cy="333375"/>
            <wp:effectExtent l="0" t="0" r="0" b="0"/>
            <wp:wrapNone/>
            <wp:docPr id="1" name="Picture 1" descr="Machine generated alternative text:&#10;&#10;Rathanda R Dawkin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hine generated alternative text:&#10;&#10;Rathanda R Dawkins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97244" cy="3333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69B4436" w14:textId="03D82AB6" w:rsidR="00D11CF0" w:rsidRPr="006816FD" w:rsidRDefault="00D11CF0" w:rsidP="00281C89">
      <w:pPr>
        <w:rPr>
          <w:rFonts w:ascii="Arial" w:hAnsi="Arial" w:cs="Arial"/>
          <w:noProof/>
          <w:sz w:val="20"/>
        </w:rPr>
      </w:pPr>
    </w:p>
    <w:p w14:paraId="6D94C406" w14:textId="77777777" w:rsidR="00564F14" w:rsidRPr="006816FD" w:rsidRDefault="00564F14" w:rsidP="00281C89">
      <w:pPr>
        <w:rPr>
          <w:rFonts w:ascii="Arial" w:hAnsi="Arial" w:cs="Arial"/>
          <w:sz w:val="20"/>
        </w:rPr>
      </w:pPr>
    </w:p>
    <w:p w14:paraId="7F311668" w14:textId="77777777" w:rsidR="00E06F1B" w:rsidRPr="006816FD" w:rsidRDefault="00D703C0" w:rsidP="00281C89">
      <w:pPr>
        <w:rPr>
          <w:rFonts w:ascii="Arial" w:hAnsi="Arial" w:cs="Arial"/>
          <w:sz w:val="20"/>
        </w:rPr>
      </w:pPr>
      <w:r w:rsidRPr="006816FD">
        <w:rPr>
          <w:rFonts w:ascii="Arial" w:hAnsi="Arial" w:cs="Arial"/>
          <w:sz w:val="20"/>
        </w:rPr>
        <w:t xml:space="preserve">LaShanda </w:t>
      </w:r>
      <w:r w:rsidR="001E3E77">
        <w:rPr>
          <w:rFonts w:ascii="Arial" w:hAnsi="Arial" w:cs="Arial"/>
          <w:sz w:val="20"/>
        </w:rPr>
        <w:t xml:space="preserve">R. </w:t>
      </w:r>
      <w:r w:rsidRPr="006816FD">
        <w:rPr>
          <w:rFonts w:ascii="Arial" w:hAnsi="Arial" w:cs="Arial"/>
          <w:sz w:val="20"/>
        </w:rPr>
        <w:t>Dawkins</w:t>
      </w:r>
    </w:p>
    <w:p w14:paraId="386C716E" w14:textId="77777777" w:rsidR="00E06F1B" w:rsidRPr="006816FD" w:rsidRDefault="00E06F1B" w:rsidP="00281C89">
      <w:pPr>
        <w:rPr>
          <w:rFonts w:ascii="Arial" w:hAnsi="Arial" w:cs="Arial"/>
          <w:sz w:val="20"/>
        </w:rPr>
      </w:pPr>
      <w:r w:rsidRPr="006816FD">
        <w:rPr>
          <w:rFonts w:ascii="Arial" w:hAnsi="Arial" w:cs="Arial"/>
          <w:sz w:val="20"/>
        </w:rPr>
        <w:t>Chair, MARTA Management P</w:t>
      </w:r>
      <w:r w:rsidR="00D11CF0" w:rsidRPr="006816FD">
        <w:rPr>
          <w:rFonts w:ascii="Arial" w:hAnsi="Arial" w:cs="Arial"/>
          <w:sz w:val="20"/>
        </w:rPr>
        <w:t>ension Committee</w:t>
      </w:r>
    </w:p>
    <w:p w14:paraId="3348686C" w14:textId="77777777" w:rsidR="00CF6842" w:rsidRPr="006816FD" w:rsidRDefault="00CF6842" w:rsidP="00281C89">
      <w:pPr>
        <w:rPr>
          <w:rFonts w:ascii="Arial" w:hAnsi="Arial" w:cs="Arial"/>
          <w:sz w:val="20"/>
        </w:rPr>
      </w:pPr>
    </w:p>
    <w:p w14:paraId="7BDABA71" w14:textId="77777777" w:rsidR="00281C89" w:rsidRPr="006816FD" w:rsidRDefault="00281C89" w:rsidP="00281C89">
      <w:pPr>
        <w:rPr>
          <w:rFonts w:ascii="Arial" w:hAnsi="Arial" w:cs="Arial"/>
          <w:sz w:val="20"/>
        </w:rPr>
      </w:pPr>
    </w:p>
    <w:p w14:paraId="112F7EA2" w14:textId="77777777" w:rsidR="00CF6842" w:rsidRPr="006816FD" w:rsidRDefault="00CF6842" w:rsidP="00281C89">
      <w:pPr>
        <w:rPr>
          <w:rFonts w:ascii="Arial" w:hAnsi="Arial" w:cs="Arial"/>
          <w:sz w:val="20"/>
        </w:rPr>
        <w:sectPr w:rsidR="00CF6842" w:rsidRPr="006816FD" w:rsidSect="0026177E">
          <w:pgSz w:w="12240" w:h="15840" w:code="1"/>
          <w:pgMar w:top="1584" w:right="1440" w:bottom="1440" w:left="1440" w:header="720" w:footer="720" w:gutter="0"/>
          <w:pgNumType w:start="1"/>
          <w:cols w:space="720"/>
          <w:titlePg/>
          <w:docGrid w:linePitch="360"/>
        </w:sectPr>
      </w:pPr>
    </w:p>
    <w:p w14:paraId="6619D0CF" w14:textId="77777777" w:rsidR="00935FE7" w:rsidRPr="006816FD" w:rsidRDefault="00935FE7">
      <w:pPr>
        <w:pStyle w:val="Heading1"/>
        <w:rPr>
          <w:sz w:val="20"/>
          <w:szCs w:val="20"/>
        </w:rPr>
      </w:pPr>
      <w:r w:rsidRPr="006816FD">
        <w:rPr>
          <w:sz w:val="20"/>
          <w:szCs w:val="20"/>
        </w:rPr>
        <w:lastRenderedPageBreak/>
        <w:t>MARTA NON-REPRESENTED PENSION PLAN</w:t>
      </w:r>
    </w:p>
    <w:p w14:paraId="076C8BBD" w14:textId="77777777" w:rsidR="004926C0" w:rsidRPr="006816FD" w:rsidRDefault="004926C0" w:rsidP="004926C0">
      <w:pPr>
        <w:rPr>
          <w:rFonts w:ascii="Arial" w:hAnsi="Arial" w:cs="Arial"/>
          <w:sz w:val="20"/>
        </w:rPr>
      </w:pPr>
    </w:p>
    <w:p w14:paraId="6A3992C5" w14:textId="1E56D729" w:rsidR="00935FE7" w:rsidRPr="006816FD" w:rsidRDefault="00935FE7" w:rsidP="00E56470">
      <w:pPr>
        <w:pStyle w:val="BodyText"/>
        <w:spacing w:after="240"/>
        <w:jc w:val="left"/>
        <w:rPr>
          <w:rFonts w:cs="Arial"/>
          <w:spacing w:val="-3"/>
        </w:rPr>
      </w:pPr>
      <w:r w:rsidRPr="006816FD">
        <w:rPr>
          <w:rFonts w:cs="Arial"/>
          <w:spacing w:val="-3"/>
        </w:rPr>
        <w:t>This is a summary annual report concerning the MARTA Non-Represented Pension Plan (the “Plan”) for January 1, 20</w:t>
      </w:r>
      <w:r w:rsidR="00D50C1A">
        <w:rPr>
          <w:rFonts w:cs="Arial"/>
          <w:spacing w:val="-3"/>
        </w:rPr>
        <w:t>2</w:t>
      </w:r>
      <w:r w:rsidR="00357BA3">
        <w:rPr>
          <w:rFonts w:cs="Arial"/>
          <w:spacing w:val="-3"/>
        </w:rPr>
        <w:t>1</w:t>
      </w:r>
      <w:r w:rsidRPr="006816FD">
        <w:rPr>
          <w:rFonts w:cs="Arial"/>
          <w:spacing w:val="-3"/>
        </w:rPr>
        <w:t xml:space="preserve"> through December 31, 20</w:t>
      </w:r>
      <w:r w:rsidR="00D50C1A">
        <w:rPr>
          <w:rFonts w:cs="Arial"/>
          <w:spacing w:val="-3"/>
        </w:rPr>
        <w:t>2</w:t>
      </w:r>
      <w:r w:rsidR="00357BA3">
        <w:rPr>
          <w:rFonts w:cs="Arial"/>
          <w:spacing w:val="-3"/>
        </w:rPr>
        <w:t>1</w:t>
      </w:r>
      <w:r w:rsidRPr="006816FD">
        <w:rPr>
          <w:rFonts w:cs="Arial"/>
          <w:spacing w:val="-3"/>
        </w:rPr>
        <w:t>, in compliance with the MARTA Act of 1965, as amended.</w:t>
      </w:r>
      <w:r w:rsidR="00817736" w:rsidRPr="006816FD">
        <w:rPr>
          <w:rFonts w:cs="Arial"/>
          <w:spacing w:val="-3"/>
        </w:rPr>
        <w:t xml:space="preserve"> </w:t>
      </w:r>
      <w:r w:rsidR="00636180" w:rsidRPr="006816FD">
        <w:rPr>
          <w:rFonts w:cs="Arial"/>
          <w:spacing w:val="-3"/>
        </w:rPr>
        <w:t xml:space="preserve"> Information is based on the </w:t>
      </w:r>
      <w:r w:rsidR="00F374F9" w:rsidRPr="006816FD">
        <w:rPr>
          <w:rFonts w:cs="Arial"/>
          <w:spacing w:val="-3"/>
        </w:rPr>
        <w:t>Actuarial</w:t>
      </w:r>
      <w:r w:rsidR="00636180" w:rsidRPr="006816FD">
        <w:rPr>
          <w:rFonts w:cs="Arial"/>
          <w:spacing w:val="-3"/>
        </w:rPr>
        <w:t xml:space="preserve"> Valuation report </w:t>
      </w:r>
      <w:r w:rsidR="00C10C9D" w:rsidRPr="006816FD">
        <w:rPr>
          <w:rFonts w:cs="Arial"/>
          <w:spacing w:val="-3"/>
        </w:rPr>
        <w:t>as of January 1, 20</w:t>
      </w:r>
      <w:r w:rsidR="008C5618">
        <w:rPr>
          <w:rFonts w:cs="Arial"/>
          <w:spacing w:val="-3"/>
        </w:rPr>
        <w:t>2</w:t>
      </w:r>
      <w:r w:rsidR="00357BA3">
        <w:rPr>
          <w:rFonts w:cs="Arial"/>
          <w:spacing w:val="-3"/>
        </w:rPr>
        <w:t>2</w:t>
      </w:r>
      <w:r w:rsidR="006265C3">
        <w:rPr>
          <w:rFonts w:cs="Arial"/>
          <w:spacing w:val="-3"/>
        </w:rPr>
        <w:t>,</w:t>
      </w:r>
      <w:r w:rsidR="00C10C9D" w:rsidRPr="006816FD">
        <w:rPr>
          <w:rFonts w:cs="Arial"/>
          <w:spacing w:val="-3"/>
        </w:rPr>
        <w:t xml:space="preserve"> </w:t>
      </w:r>
      <w:r w:rsidR="00817736" w:rsidRPr="006816FD">
        <w:rPr>
          <w:rFonts w:cs="Arial"/>
          <w:spacing w:val="-3"/>
        </w:rPr>
        <w:t xml:space="preserve">the Independent Auditor’s </w:t>
      </w:r>
      <w:r w:rsidR="008D7DDA">
        <w:rPr>
          <w:rFonts w:cs="Arial"/>
          <w:spacing w:val="-3"/>
        </w:rPr>
        <w:t>R</w:t>
      </w:r>
      <w:r w:rsidR="00817736" w:rsidRPr="006816FD">
        <w:rPr>
          <w:rFonts w:cs="Arial"/>
          <w:spacing w:val="-3"/>
        </w:rPr>
        <w:t xml:space="preserve">eport </w:t>
      </w:r>
      <w:r w:rsidR="000F1BA1" w:rsidRPr="006816FD">
        <w:rPr>
          <w:rFonts w:cs="Arial"/>
          <w:spacing w:val="-3"/>
        </w:rPr>
        <w:t>for</w:t>
      </w:r>
      <w:r w:rsidR="00C10C9D" w:rsidRPr="006816FD">
        <w:rPr>
          <w:rFonts w:cs="Arial"/>
          <w:spacing w:val="-3"/>
        </w:rPr>
        <w:t xml:space="preserve"> the year end</w:t>
      </w:r>
      <w:r w:rsidR="006816FD" w:rsidRPr="006816FD">
        <w:rPr>
          <w:rFonts w:cs="Arial"/>
          <w:spacing w:val="-3"/>
        </w:rPr>
        <w:t>ed</w:t>
      </w:r>
      <w:r w:rsidR="00C10C9D" w:rsidRPr="006816FD">
        <w:rPr>
          <w:rFonts w:cs="Arial"/>
          <w:spacing w:val="-3"/>
        </w:rPr>
        <w:t xml:space="preserve"> December 31, </w:t>
      </w:r>
      <w:r w:rsidR="00636180" w:rsidRPr="006816FD">
        <w:rPr>
          <w:rFonts w:cs="Arial"/>
          <w:spacing w:val="-3"/>
        </w:rPr>
        <w:t>20</w:t>
      </w:r>
      <w:r w:rsidR="00774179">
        <w:rPr>
          <w:rFonts w:cs="Arial"/>
          <w:spacing w:val="-3"/>
        </w:rPr>
        <w:t>2</w:t>
      </w:r>
      <w:r w:rsidR="00357BA3">
        <w:rPr>
          <w:rFonts w:cs="Arial"/>
          <w:spacing w:val="-3"/>
        </w:rPr>
        <w:t>1</w:t>
      </w:r>
      <w:r w:rsidR="00F67D93">
        <w:rPr>
          <w:rFonts w:cs="Arial"/>
          <w:spacing w:val="-3"/>
        </w:rPr>
        <w:t xml:space="preserve"> and the Annual Investment Report</w:t>
      </w:r>
      <w:r w:rsidR="00636180" w:rsidRPr="006816FD">
        <w:rPr>
          <w:rFonts w:cs="Arial"/>
          <w:spacing w:val="-3"/>
        </w:rPr>
        <w:t>.</w:t>
      </w:r>
    </w:p>
    <w:p w14:paraId="3DC089DA" w14:textId="77777777" w:rsidR="00572771" w:rsidRPr="006816FD" w:rsidRDefault="00572771" w:rsidP="00636180">
      <w:pPr>
        <w:pStyle w:val="BodyText"/>
        <w:spacing w:after="120"/>
        <w:rPr>
          <w:rFonts w:cs="Arial"/>
          <w:b/>
          <w:iCs/>
        </w:rPr>
      </w:pPr>
    </w:p>
    <w:p w14:paraId="1E753475" w14:textId="77777777" w:rsidR="004926C0" w:rsidRPr="006816FD" w:rsidRDefault="004926C0" w:rsidP="00501F63">
      <w:pPr>
        <w:spacing w:before="120"/>
        <w:rPr>
          <w:rFonts w:ascii="Arial" w:hAnsi="Arial" w:cs="Arial"/>
          <w:b/>
          <w:spacing w:val="-3"/>
          <w:sz w:val="20"/>
        </w:rPr>
      </w:pPr>
    </w:p>
    <w:p w14:paraId="116A3231" w14:textId="77777777" w:rsidR="0073705D" w:rsidRPr="006816FD" w:rsidRDefault="0073705D" w:rsidP="00501F63">
      <w:pPr>
        <w:spacing w:before="120"/>
        <w:rPr>
          <w:rFonts w:ascii="Arial" w:hAnsi="Arial" w:cs="Arial"/>
          <w:b/>
          <w:spacing w:val="-3"/>
          <w:sz w:val="20"/>
        </w:rPr>
      </w:pPr>
      <w:r w:rsidRPr="006816FD">
        <w:rPr>
          <w:rFonts w:ascii="Arial" w:hAnsi="Arial" w:cs="Arial"/>
          <w:b/>
          <w:spacing w:val="-3"/>
          <w:sz w:val="20"/>
        </w:rPr>
        <w:t>Asset Allocation</w:t>
      </w:r>
    </w:p>
    <w:p w14:paraId="3214326E" w14:textId="14D3765A" w:rsidR="0073705D" w:rsidRPr="006816FD" w:rsidRDefault="0073705D" w:rsidP="00501F63">
      <w:pPr>
        <w:spacing w:before="120"/>
        <w:rPr>
          <w:rFonts w:ascii="Arial" w:hAnsi="Arial" w:cs="Arial"/>
          <w:spacing w:val="-3"/>
          <w:sz w:val="20"/>
        </w:rPr>
      </w:pPr>
      <w:r w:rsidRPr="006816FD">
        <w:rPr>
          <w:rFonts w:ascii="Arial" w:hAnsi="Arial" w:cs="Arial"/>
          <w:spacing w:val="-3"/>
          <w:sz w:val="20"/>
        </w:rPr>
        <w:t>The Fund’s asset a</w:t>
      </w:r>
      <w:r w:rsidR="00F02634" w:rsidRPr="006816FD">
        <w:rPr>
          <w:rFonts w:ascii="Arial" w:hAnsi="Arial" w:cs="Arial"/>
          <w:spacing w:val="-3"/>
          <w:sz w:val="20"/>
        </w:rPr>
        <w:t>llocation as of December 31, 20</w:t>
      </w:r>
      <w:r w:rsidR="006141CB">
        <w:rPr>
          <w:rFonts w:ascii="Arial" w:hAnsi="Arial" w:cs="Arial"/>
          <w:spacing w:val="-3"/>
          <w:sz w:val="20"/>
        </w:rPr>
        <w:t>2</w:t>
      </w:r>
      <w:r w:rsidR="00232616">
        <w:rPr>
          <w:rFonts w:ascii="Arial" w:hAnsi="Arial" w:cs="Arial"/>
          <w:spacing w:val="-3"/>
          <w:sz w:val="20"/>
        </w:rPr>
        <w:t>1</w:t>
      </w:r>
      <w:r w:rsidRPr="006816FD">
        <w:rPr>
          <w:rFonts w:ascii="Arial" w:hAnsi="Arial" w:cs="Arial"/>
          <w:spacing w:val="-3"/>
          <w:sz w:val="20"/>
        </w:rPr>
        <w:t xml:space="preserve"> is shown below</w:t>
      </w:r>
      <w:r w:rsidR="00F67D93">
        <w:rPr>
          <w:rFonts w:ascii="Arial" w:hAnsi="Arial" w:cs="Arial"/>
          <w:spacing w:val="-3"/>
          <w:sz w:val="20"/>
        </w:rPr>
        <w:t>:</w:t>
      </w:r>
    </w:p>
    <w:p w14:paraId="4BDF7B61" w14:textId="77777777" w:rsidR="00BA75DF" w:rsidRPr="006816FD" w:rsidRDefault="00BA75DF" w:rsidP="00501F63">
      <w:pPr>
        <w:spacing w:before="120"/>
        <w:rPr>
          <w:rFonts w:ascii="Arial" w:hAnsi="Arial" w:cs="Arial"/>
          <w:spacing w:val="-3"/>
          <w:sz w:val="20"/>
        </w:rPr>
      </w:pPr>
    </w:p>
    <w:p w14:paraId="578D14C6" w14:textId="02846BA6" w:rsidR="004926C0" w:rsidRPr="006816FD" w:rsidRDefault="00232616" w:rsidP="00151064">
      <w:pPr>
        <w:tabs>
          <w:tab w:val="left" w:pos="6570"/>
        </w:tabs>
        <w:spacing w:before="120"/>
        <w:jc w:val="center"/>
        <w:rPr>
          <w:rFonts w:ascii="Arial" w:hAnsi="Arial" w:cs="Arial"/>
          <w:spacing w:val="-3"/>
          <w:sz w:val="20"/>
        </w:rPr>
      </w:pPr>
      <w:r w:rsidRPr="00232616">
        <w:rPr>
          <w:rFonts w:ascii="Arial" w:hAnsi="Arial" w:cs="Arial"/>
          <w:noProof/>
          <w:spacing w:val="-3"/>
          <w:sz w:val="20"/>
        </w:rPr>
        <w:drawing>
          <wp:inline distT="0" distB="0" distL="0" distR="0" wp14:anchorId="75AF6958" wp14:editId="6569559E">
            <wp:extent cx="3991532" cy="301032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991532" cy="3010320"/>
                    </a:xfrm>
                    <a:prstGeom prst="rect">
                      <a:avLst/>
                    </a:prstGeom>
                  </pic:spPr>
                </pic:pic>
              </a:graphicData>
            </a:graphic>
          </wp:inline>
        </w:drawing>
      </w:r>
    </w:p>
    <w:p w14:paraId="5A62D648" w14:textId="0EFDC633" w:rsidR="0073705D" w:rsidRPr="006816FD" w:rsidRDefault="00A426EF" w:rsidP="00501F63">
      <w:pPr>
        <w:spacing w:before="120"/>
        <w:rPr>
          <w:rFonts w:ascii="Arial" w:hAnsi="Arial" w:cs="Arial"/>
          <w:spacing w:val="-3"/>
          <w:sz w:val="20"/>
        </w:rPr>
      </w:pPr>
      <w:r w:rsidRPr="00A426EF">
        <w:rPr>
          <w:rFonts w:ascii="Arial" w:hAnsi="Arial" w:cs="Arial"/>
          <w:spacing w:val="-3"/>
          <w:sz w:val="20"/>
        </w:rPr>
        <w:t>(1)</w:t>
      </w:r>
    </w:p>
    <w:p w14:paraId="1CC366A5" w14:textId="77777777" w:rsidR="00833005" w:rsidRPr="006816FD" w:rsidRDefault="0068619F" w:rsidP="00501F63">
      <w:pPr>
        <w:spacing w:before="120"/>
        <w:rPr>
          <w:rFonts w:ascii="Arial" w:hAnsi="Arial" w:cs="Arial"/>
          <w:spacing w:val="-3"/>
          <w:sz w:val="20"/>
        </w:rPr>
        <w:sectPr w:rsidR="00833005" w:rsidRPr="006816FD" w:rsidSect="003366A7">
          <w:headerReference w:type="default" r:id="rId13"/>
          <w:footerReference w:type="default" r:id="rId14"/>
          <w:pgSz w:w="12240" w:h="15840" w:code="1"/>
          <w:pgMar w:top="2016" w:right="1440" w:bottom="1440" w:left="1440" w:header="720" w:footer="720" w:gutter="0"/>
          <w:pgNumType w:start="1"/>
          <w:cols w:space="720"/>
          <w:docGrid w:linePitch="360"/>
        </w:sectPr>
      </w:pPr>
      <w:r w:rsidRPr="006816FD">
        <w:rPr>
          <w:rFonts w:ascii="Arial" w:hAnsi="Arial" w:cs="Arial"/>
          <w:noProof/>
          <w:sz w:val="20"/>
        </w:rPr>
        <mc:AlternateContent>
          <mc:Choice Requires="wps">
            <w:drawing>
              <wp:anchor distT="0" distB="0" distL="114300" distR="114300" simplePos="0" relativeHeight="251676160" behindDoc="0" locked="0" layoutInCell="1" allowOverlap="1" wp14:anchorId="3F6AE527" wp14:editId="02E5D1A1">
                <wp:simplePos x="0" y="0"/>
                <wp:positionH relativeFrom="column">
                  <wp:posOffset>-129540</wp:posOffset>
                </wp:positionH>
                <wp:positionV relativeFrom="paragraph">
                  <wp:posOffset>46355</wp:posOffset>
                </wp:positionV>
                <wp:extent cx="6096000" cy="1386840"/>
                <wp:effectExtent l="0" t="0" r="0" b="3810"/>
                <wp:wrapNone/>
                <wp:docPr id="1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386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EE2A34" w14:textId="77777777" w:rsidR="00967012" w:rsidRDefault="00967012" w:rsidP="00572771">
                            <w:pPr>
                              <w:rPr>
                                <w:rFonts w:ascii="Arial" w:hAnsi="Arial" w:cs="Arial"/>
                                <w:b/>
                                <w:sz w:val="22"/>
                                <w:szCs w:val="22"/>
                              </w:rPr>
                            </w:pPr>
                          </w:p>
                          <w:p w14:paraId="08D5ED67" w14:textId="77777777" w:rsidR="00967012" w:rsidRPr="000C72A0" w:rsidRDefault="00967012" w:rsidP="00572771">
                            <w:pPr>
                              <w:rPr>
                                <w:rFonts w:ascii="Arial" w:hAnsi="Arial" w:cs="Arial"/>
                                <w:b/>
                                <w:sz w:val="20"/>
                              </w:rPr>
                            </w:pPr>
                            <w:r w:rsidRPr="000C72A0">
                              <w:rPr>
                                <w:rFonts w:ascii="Arial" w:hAnsi="Arial" w:cs="Arial"/>
                                <w:b/>
                                <w:sz w:val="20"/>
                              </w:rPr>
                              <w:t>Investment of Plan Assets</w:t>
                            </w:r>
                          </w:p>
                          <w:p w14:paraId="12013A19" w14:textId="77777777" w:rsidR="00967012" w:rsidRPr="000C72A0" w:rsidRDefault="00967012" w:rsidP="00E56470">
                            <w:pPr>
                              <w:jc w:val="both"/>
                              <w:rPr>
                                <w:rFonts w:ascii="Arial" w:hAnsi="Arial" w:cs="Arial"/>
                                <w:b/>
                                <w:sz w:val="20"/>
                              </w:rPr>
                            </w:pPr>
                          </w:p>
                          <w:p w14:paraId="541E94F7" w14:textId="77777777" w:rsidR="00967012" w:rsidRPr="000C72A0" w:rsidRDefault="00967012" w:rsidP="00E56470">
                            <w:pPr>
                              <w:jc w:val="both"/>
                              <w:rPr>
                                <w:rFonts w:ascii="Arial" w:hAnsi="Arial" w:cs="Arial"/>
                                <w:sz w:val="20"/>
                              </w:rPr>
                            </w:pPr>
                            <w:r w:rsidRPr="000C72A0">
                              <w:rPr>
                                <w:rFonts w:ascii="Arial" w:hAnsi="Arial" w:cs="Arial"/>
                                <w:sz w:val="20"/>
                              </w:rPr>
                              <w:t>The Management Pension Committee (the “Committee”) employs Callan Associates, Inc. as an investment consultant to monitor the performance of the Plan’s investment managers who invest Plan assets on behalf of the Plan participants and beneficiaries.  The following investment managers currently invest Plan assets as follows: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6AE527" id="_x0000_t202" coordsize="21600,21600" o:spt="202" path="m,l,21600r21600,l21600,xe">
                <v:stroke joinstyle="miter"/>
                <v:path gradientshapeok="t" o:connecttype="rect"/>
              </v:shapetype>
              <v:shape id="Text Box 14" o:spid="_x0000_s1026" type="#_x0000_t202" style="position:absolute;margin-left:-10.2pt;margin-top:3.65pt;width:480pt;height:109.2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" stroked="f">
                <v:textbox>
                  <w:txbxContent>
                    <w:p w14:paraId="61EE2A34" w14:textId="77777777" w:rsidR="00967012" w:rsidRDefault="00967012" w:rsidP="00572771">
                      <w:pPr>
                        <w:rPr>
                          <w:rFonts w:ascii="Arial" w:hAnsi="Arial" w:cs="Arial"/>
                          <w:b/>
                          <w:sz w:val="22"/>
                          <w:szCs w:val="22"/>
                        </w:rPr>
                      </w:pPr>
                    </w:p>
                    <w:p w14:paraId="08D5ED67" w14:textId="77777777" w:rsidR="00967012" w:rsidRPr="000C72A0" w:rsidRDefault="00967012" w:rsidP="00572771">
                      <w:pPr>
                        <w:rPr>
                          <w:rFonts w:ascii="Arial" w:hAnsi="Arial" w:cs="Arial"/>
                          <w:b/>
                          <w:sz w:val="20"/>
                        </w:rPr>
                      </w:pPr>
                      <w:r w:rsidRPr="000C72A0">
                        <w:rPr>
                          <w:rFonts w:ascii="Arial" w:hAnsi="Arial" w:cs="Arial"/>
                          <w:b/>
                          <w:sz w:val="20"/>
                        </w:rPr>
                        <w:t>Investment of Plan Assets</w:t>
                      </w:r>
                    </w:p>
                    <w:p w14:paraId="12013A19" w14:textId="77777777" w:rsidR="00967012" w:rsidRPr="000C72A0" w:rsidRDefault="00967012" w:rsidP="00E56470">
                      <w:pPr>
                        <w:jc w:val="both"/>
                        <w:rPr>
                          <w:rFonts w:ascii="Arial" w:hAnsi="Arial" w:cs="Arial"/>
                          <w:b/>
                          <w:sz w:val="20"/>
                        </w:rPr>
                      </w:pPr>
                    </w:p>
                    <w:p w14:paraId="541E94F7" w14:textId="77777777" w:rsidR="00967012" w:rsidRPr="000C72A0" w:rsidRDefault="00967012" w:rsidP="00E56470">
                      <w:pPr>
                        <w:jc w:val="both"/>
                        <w:rPr>
                          <w:rFonts w:ascii="Arial" w:hAnsi="Arial" w:cs="Arial"/>
                          <w:sz w:val="20"/>
                        </w:rPr>
                      </w:pPr>
                      <w:r w:rsidRPr="000C72A0">
                        <w:rPr>
                          <w:rFonts w:ascii="Arial" w:hAnsi="Arial" w:cs="Arial"/>
                          <w:sz w:val="20"/>
                        </w:rPr>
                        <w:t>The Management Pension Committee (the “Committee”) employs Callan Associates, Inc. as an investment consultant to monitor the performance of the Plan’s investment managers who invest Plan assets on behalf of the Plan participants and beneficiaries.  The following investment managers currently invest Plan assets as follows:</w:t>
                      </w:r>
                    </w:p>
                  </w:txbxContent>
                </v:textbox>
              </v:shape>
            </w:pict>
          </mc:Fallback>
        </mc:AlternateContent>
      </w:r>
      <w:r w:rsidRPr="006816FD">
        <w:rPr>
          <w:rFonts w:ascii="Arial" w:hAnsi="Arial" w:cs="Arial"/>
          <w:spacing w:val="-3"/>
          <w:sz w:val="20"/>
        </w:rPr>
        <w:t>(1)</w:t>
      </w:r>
    </w:p>
    <w:p w14:paraId="0F457D4B" w14:textId="417E45F1" w:rsidR="00AC423A" w:rsidRPr="006816FD" w:rsidRDefault="00AC423A" w:rsidP="0078327F">
      <w:pPr>
        <w:pBdr>
          <w:top w:val="single" w:sz="4" w:space="1" w:color="auto"/>
          <w:left w:val="single" w:sz="4" w:space="10" w:color="auto"/>
          <w:bottom w:val="single" w:sz="4" w:space="1" w:color="auto"/>
          <w:right w:val="single" w:sz="4" w:space="4" w:color="auto"/>
        </w:pBdr>
        <w:jc w:val="center"/>
        <w:rPr>
          <w:rFonts w:ascii="Arial" w:hAnsi="Arial" w:cs="Arial"/>
          <w:b/>
          <w:sz w:val="20"/>
        </w:rPr>
      </w:pPr>
      <w:r w:rsidRPr="006816FD">
        <w:rPr>
          <w:rFonts w:ascii="Arial" w:hAnsi="Arial" w:cs="Arial"/>
          <w:b/>
          <w:sz w:val="20"/>
        </w:rPr>
        <w:lastRenderedPageBreak/>
        <w:t>Returns for Period Ended December 31, 20</w:t>
      </w:r>
      <w:r w:rsidR="00DD2C43">
        <w:rPr>
          <w:rFonts w:ascii="Arial" w:hAnsi="Arial" w:cs="Arial"/>
          <w:b/>
          <w:sz w:val="20"/>
        </w:rPr>
        <w:t>2</w:t>
      </w:r>
      <w:r w:rsidR="00E34F67">
        <w:rPr>
          <w:rFonts w:ascii="Arial" w:hAnsi="Arial" w:cs="Arial"/>
          <w:b/>
          <w:sz w:val="20"/>
        </w:rPr>
        <w:t>1</w:t>
      </w:r>
    </w:p>
    <w:p w14:paraId="77E4664F" w14:textId="244DF7C2" w:rsidR="006878A2" w:rsidRPr="006816FD" w:rsidRDefault="00D36D98" w:rsidP="00151064">
      <w:pPr>
        <w:jc w:val="center"/>
        <w:rPr>
          <w:rFonts w:ascii="Arial" w:hAnsi="Arial" w:cs="Arial"/>
          <w:spacing w:val="-3"/>
          <w:sz w:val="20"/>
        </w:rPr>
      </w:pPr>
      <w:r w:rsidRPr="006816FD">
        <w:rPr>
          <w:rFonts w:ascii="Arial" w:hAnsi="Arial" w:cs="Arial"/>
          <w:noProof/>
          <w:sz w:val="20"/>
        </w:rPr>
        <mc:AlternateContent>
          <mc:Choice Requires="wps">
            <w:drawing>
              <wp:anchor distT="0" distB="0" distL="0" distR="0" simplePos="0" relativeHeight="251653632" behindDoc="0" locked="0" layoutInCell="1" allowOverlap="1" wp14:anchorId="266E7DC7" wp14:editId="40334D30">
                <wp:simplePos x="0" y="0"/>
                <wp:positionH relativeFrom="margin">
                  <wp:align>right</wp:align>
                </wp:positionH>
                <wp:positionV relativeFrom="page">
                  <wp:posOffset>1209675</wp:posOffset>
                </wp:positionV>
                <wp:extent cx="6057900" cy="4381500"/>
                <wp:effectExtent l="0" t="0" r="0" b="0"/>
                <wp:wrapThrough wrapText="bothSides">
                  <wp:wrapPolygon edited="0">
                    <wp:start x="0" y="0"/>
                    <wp:lineTo x="0" y="21506"/>
                    <wp:lineTo x="21532" y="21506"/>
                    <wp:lineTo x="21532" y="0"/>
                    <wp:lineTo x="0" y="0"/>
                  </wp:wrapPolygon>
                </wp:wrapThrough>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438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9460" w:type="dxa"/>
                              <w:tblLook w:val="04A0" w:firstRow="1" w:lastRow="0" w:firstColumn="1" w:lastColumn="0" w:noHBand="0" w:noVBand="1"/>
                            </w:tblPr>
                            <w:tblGrid>
                              <w:gridCol w:w="3102"/>
                              <w:gridCol w:w="1718"/>
                              <w:gridCol w:w="1160"/>
                              <w:gridCol w:w="1160"/>
                              <w:gridCol w:w="1160"/>
                              <w:gridCol w:w="1160"/>
                            </w:tblGrid>
                            <w:tr w:rsidR="00D36D98" w:rsidRPr="00E34F67" w14:paraId="31F046B9" w14:textId="77777777" w:rsidTr="00D36D98">
                              <w:trPr>
                                <w:trHeight w:val="240"/>
                              </w:trPr>
                              <w:tc>
                                <w:tcPr>
                                  <w:tcW w:w="3220" w:type="dxa"/>
                                  <w:tcBorders>
                                    <w:top w:val="nil"/>
                                    <w:left w:val="nil"/>
                                    <w:bottom w:val="nil"/>
                                    <w:right w:val="nil"/>
                                  </w:tcBorders>
                                  <w:shd w:val="clear" w:color="auto" w:fill="auto"/>
                                  <w:hideMark/>
                                </w:tcPr>
                                <w:p w14:paraId="771CD334" w14:textId="77777777" w:rsidR="00D36D98" w:rsidRPr="00733404" w:rsidRDefault="00D36D98" w:rsidP="00D36D98">
                                  <w:pPr>
                                    <w:rPr>
                                      <w:sz w:val="20"/>
                                    </w:rPr>
                                  </w:pPr>
                                </w:p>
                              </w:tc>
                              <w:tc>
                                <w:tcPr>
                                  <w:tcW w:w="1600" w:type="dxa"/>
                                  <w:tcBorders>
                                    <w:top w:val="nil"/>
                                    <w:left w:val="nil"/>
                                    <w:bottom w:val="nil"/>
                                    <w:right w:val="nil"/>
                                  </w:tcBorders>
                                  <w:shd w:val="clear" w:color="auto" w:fill="auto"/>
                                  <w:hideMark/>
                                </w:tcPr>
                                <w:p w14:paraId="27DF7398" w14:textId="77777777" w:rsidR="00D36D98" w:rsidRPr="00733404" w:rsidRDefault="00D36D98" w:rsidP="00D36D98">
                                  <w:pPr>
                                    <w:jc w:val="center"/>
                                    <w:rPr>
                                      <w:rFonts w:ascii="Arial" w:hAnsi="Arial" w:cs="Arial"/>
                                      <w:b/>
                                      <w:bCs/>
                                      <w:sz w:val="20"/>
                                    </w:rPr>
                                  </w:pPr>
                                  <w:r w:rsidRPr="00733404">
                                    <w:rPr>
                                      <w:rFonts w:ascii="Arial" w:hAnsi="Arial" w:cs="Arial"/>
                                      <w:b/>
                                      <w:bCs/>
                                      <w:sz w:val="20"/>
                                    </w:rPr>
                                    <w:t>Market</w:t>
                                  </w:r>
                                  <w:r w:rsidRPr="00733404">
                                    <w:rPr>
                                      <w:rFonts w:ascii="Arial" w:hAnsi="Arial" w:cs="Arial"/>
                                      <w:b/>
                                      <w:bCs/>
                                      <w:sz w:val="20"/>
                                    </w:rPr>
                                    <w:br/>
                                    <w:t>Value</w:t>
                                  </w:r>
                                </w:p>
                              </w:tc>
                              <w:tc>
                                <w:tcPr>
                                  <w:tcW w:w="1160" w:type="dxa"/>
                                  <w:tcBorders>
                                    <w:top w:val="nil"/>
                                    <w:left w:val="nil"/>
                                    <w:bottom w:val="nil"/>
                                    <w:right w:val="nil"/>
                                  </w:tcBorders>
                                  <w:shd w:val="clear" w:color="auto" w:fill="auto"/>
                                  <w:vAlign w:val="center"/>
                                  <w:hideMark/>
                                </w:tcPr>
                                <w:p w14:paraId="426251E1" w14:textId="77777777" w:rsidR="00D36D98" w:rsidRPr="00733404" w:rsidRDefault="00D36D98" w:rsidP="00D36D98">
                                  <w:pPr>
                                    <w:jc w:val="center"/>
                                    <w:rPr>
                                      <w:rFonts w:ascii="Arial" w:hAnsi="Arial" w:cs="Arial"/>
                                      <w:b/>
                                      <w:bCs/>
                                      <w:sz w:val="20"/>
                                    </w:rPr>
                                  </w:pPr>
                                  <w:r w:rsidRPr="00733404">
                                    <w:rPr>
                                      <w:rFonts w:ascii="Arial" w:hAnsi="Arial" w:cs="Arial"/>
                                      <w:b/>
                                      <w:bCs/>
                                      <w:sz w:val="20"/>
                                    </w:rPr>
                                    <w:t>Ending</w:t>
                                  </w:r>
                                </w:p>
                              </w:tc>
                              <w:tc>
                                <w:tcPr>
                                  <w:tcW w:w="1160" w:type="dxa"/>
                                  <w:tcBorders>
                                    <w:top w:val="nil"/>
                                    <w:left w:val="nil"/>
                                    <w:bottom w:val="nil"/>
                                    <w:right w:val="nil"/>
                                  </w:tcBorders>
                                  <w:shd w:val="clear" w:color="auto" w:fill="auto"/>
                                  <w:vAlign w:val="center"/>
                                  <w:hideMark/>
                                </w:tcPr>
                                <w:p w14:paraId="50EBFF67" w14:textId="77777777" w:rsidR="00D36D98" w:rsidRPr="00733404" w:rsidRDefault="00D36D98" w:rsidP="00D36D98">
                                  <w:pPr>
                                    <w:jc w:val="center"/>
                                    <w:rPr>
                                      <w:rFonts w:ascii="Arial" w:hAnsi="Arial" w:cs="Arial"/>
                                      <w:b/>
                                      <w:bCs/>
                                      <w:sz w:val="20"/>
                                    </w:rPr>
                                  </w:pPr>
                                  <w:r w:rsidRPr="00733404">
                                    <w:rPr>
                                      <w:rFonts w:ascii="Arial" w:hAnsi="Arial" w:cs="Arial"/>
                                      <w:b/>
                                      <w:bCs/>
                                      <w:sz w:val="20"/>
                                    </w:rPr>
                                    <w:t>Last</w:t>
                                  </w:r>
                                </w:p>
                              </w:tc>
                              <w:tc>
                                <w:tcPr>
                                  <w:tcW w:w="1160" w:type="dxa"/>
                                  <w:tcBorders>
                                    <w:top w:val="nil"/>
                                    <w:left w:val="nil"/>
                                    <w:bottom w:val="nil"/>
                                    <w:right w:val="nil"/>
                                  </w:tcBorders>
                                  <w:shd w:val="clear" w:color="auto" w:fill="auto"/>
                                  <w:vAlign w:val="center"/>
                                  <w:hideMark/>
                                </w:tcPr>
                                <w:p w14:paraId="08B1E405" w14:textId="77777777" w:rsidR="00D36D98" w:rsidRPr="00733404" w:rsidRDefault="00D36D98" w:rsidP="00D36D98">
                                  <w:pPr>
                                    <w:jc w:val="center"/>
                                    <w:rPr>
                                      <w:rFonts w:ascii="Arial" w:hAnsi="Arial" w:cs="Arial"/>
                                      <w:b/>
                                      <w:bCs/>
                                      <w:sz w:val="20"/>
                                    </w:rPr>
                                  </w:pPr>
                                  <w:r w:rsidRPr="00733404">
                                    <w:rPr>
                                      <w:rFonts w:ascii="Arial" w:hAnsi="Arial" w:cs="Arial"/>
                                      <w:b/>
                                      <w:bCs/>
                                      <w:sz w:val="20"/>
                                    </w:rPr>
                                    <w:t>Last 3</w:t>
                                  </w:r>
                                </w:p>
                              </w:tc>
                              <w:tc>
                                <w:tcPr>
                                  <w:tcW w:w="1160" w:type="dxa"/>
                                  <w:tcBorders>
                                    <w:top w:val="nil"/>
                                    <w:left w:val="nil"/>
                                    <w:bottom w:val="nil"/>
                                    <w:right w:val="nil"/>
                                  </w:tcBorders>
                                  <w:shd w:val="clear" w:color="auto" w:fill="auto"/>
                                  <w:vAlign w:val="center"/>
                                  <w:hideMark/>
                                </w:tcPr>
                                <w:p w14:paraId="2B853FE0" w14:textId="77777777" w:rsidR="00D36D98" w:rsidRPr="00733404" w:rsidRDefault="00D36D98" w:rsidP="00D36D98">
                                  <w:pPr>
                                    <w:jc w:val="center"/>
                                    <w:rPr>
                                      <w:rFonts w:ascii="Arial" w:hAnsi="Arial" w:cs="Arial"/>
                                      <w:b/>
                                      <w:bCs/>
                                      <w:sz w:val="20"/>
                                    </w:rPr>
                                  </w:pPr>
                                  <w:r w:rsidRPr="00733404">
                                    <w:rPr>
                                      <w:rFonts w:ascii="Arial" w:hAnsi="Arial" w:cs="Arial"/>
                                      <w:b/>
                                      <w:bCs/>
                                      <w:sz w:val="20"/>
                                    </w:rPr>
                                    <w:t>Last 5</w:t>
                                  </w:r>
                                </w:p>
                              </w:tc>
                            </w:tr>
                            <w:tr w:rsidR="00D36D98" w:rsidRPr="00E34F67" w14:paraId="332A049C" w14:textId="77777777" w:rsidTr="00D36D98">
                              <w:trPr>
                                <w:trHeight w:val="240"/>
                              </w:trPr>
                              <w:tc>
                                <w:tcPr>
                                  <w:tcW w:w="3220" w:type="dxa"/>
                                  <w:tcBorders>
                                    <w:top w:val="nil"/>
                                    <w:left w:val="nil"/>
                                    <w:bottom w:val="single" w:sz="4" w:space="0" w:color="000000"/>
                                    <w:right w:val="nil"/>
                                  </w:tcBorders>
                                  <w:shd w:val="clear" w:color="auto" w:fill="auto"/>
                                  <w:hideMark/>
                                </w:tcPr>
                                <w:p w14:paraId="69D5F295" w14:textId="77777777" w:rsidR="00D36D98" w:rsidRPr="00733404" w:rsidRDefault="00D36D98" w:rsidP="00D36D98">
                                  <w:pPr>
                                    <w:rPr>
                                      <w:rFonts w:ascii="Arial" w:hAnsi="Arial" w:cs="Arial"/>
                                      <w:b/>
                                      <w:bCs/>
                                      <w:sz w:val="20"/>
                                    </w:rPr>
                                  </w:pPr>
                                  <w:r w:rsidRPr="00733404">
                                    <w:rPr>
                                      <w:rFonts w:ascii="Arial" w:hAnsi="Arial" w:cs="Arial"/>
                                      <w:b/>
                                      <w:bCs/>
                                      <w:sz w:val="20"/>
                                    </w:rPr>
                                    <w:t> </w:t>
                                  </w:r>
                                </w:p>
                              </w:tc>
                              <w:tc>
                                <w:tcPr>
                                  <w:tcW w:w="1600" w:type="dxa"/>
                                  <w:tcBorders>
                                    <w:top w:val="nil"/>
                                    <w:left w:val="nil"/>
                                    <w:bottom w:val="single" w:sz="4" w:space="0" w:color="000000"/>
                                    <w:right w:val="nil"/>
                                  </w:tcBorders>
                                  <w:shd w:val="clear" w:color="auto" w:fill="auto"/>
                                  <w:hideMark/>
                                </w:tcPr>
                                <w:p w14:paraId="4FC833FE" w14:textId="3ABF90F5" w:rsidR="00D36D98" w:rsidRPr="00733404" w:rsidRDefault="00D36D98" w:rsidP="00D36D98">
                                  <w:pPr>
                                    <w:jc w:val="center"/>
                                    <w:rPr>
                                      <w:rFonts w:ascii="Arial" w:hAnsi="Arial" w:cs="Arial"/>
                                      <w:b/>
                                      <w:bCs/>
                                      <w:sz w:val="20"/>
                                    </w:rPr>
                                  </w:pPr>
                                  <w:r w:rsidRPr="00733404">
                                    <w:rPr>
                                      <w:rFonts w:ascii="Arial" w:hAnsi="Arial" w:cs="Arial"/>
                                      <w:b/>
                                      <w:bCs/>
                                      <w:sz w:val="20"/>
                                    </w:rPr>
                                    <w:t>$(Dollars)</w:t>
                                  </w:r>
                                </w:p>
                              </w:tc>
                              <w:tc>
                                <w:tcPr>
                                  <w:tcW w:w="1160" w:type="dxa"/>
                                  <w:tcBorders>
                                    <w:top w:val="nil"/>
                                    <w:left w:val="nil"/>
                                    <w:bottom w:val="single" w:sz="4" w:space="0" w:color="000000"/>
                                    <w:right w:val="nil"/>
                                  </w:tcBorders>
                                  <w:shd w:val="clear" w:color="auto" w:fill="auto"/>
                                  <w:hideMark/>
                                </w:tcPr>
                                <w:p w14:paraId="4E7F6666" w14:textId="66DFDD83" w:rsidR="00D36D98" w:rsidRPr="00733404" w:rsidRDefault="00D36D98" w:rsidP="00D36D98">
                                  <w:pPr>
                                    <w:jc w:val="center"/>
                                    <w:rPr>
                                      <w:rFonts w:ascii="Arial" w:hAnsi="Arial" w:cs="Arial"/>
                                      <w:b/>
                                      <w:bCs/>
                                      <w:sz w:val="20"/>
                                    </w:rPr>
                                  </w:pPr>
                                  <w:r w:rsidRPr="00733404">
                                    <w:rPr>
                                      <w:rFonts w:ascii="Arial" w:hAnsi="Arial" w:cs="Arial"/>
                                      <w:b/>
                                      <w:bCs/>
                                      <w:sz w:val="20"/>
                                    </w:rPr>
                                    <w:t>Weight</w:t>
                                  </w:r>
                                </w:p>
                              </w:tc>
                              <w:tc>
                                <w:tcPr>
                                  <w:tcW w:w="1160" w:type="dxa"/>
                                  <w:tcBorders>
                                    <w:top w:val="nil"/>
                                    <w:left w:val="nil"/>
                                    <w:bottom w:val="single" w:sz="4" w:space="0" w:color="000000"/>
                                    <w:right w:val="nil"/>
                                  </w:tcBorders>
                                  <w:shd w:val="clear" w:color="auto" w:fill="auto"/>
                                  <w:hideMark/>
                                </w:tcPr>
                                <w:p w14:paraId="088829B4" w14:textId="77777777" w:rsidR="00D36D98" w:rsidRPr="00733404" w:rsidRDefault="00D36D98" w:rsidP="00D36D98">
                                  <w:pPr>
                                    <w:jc w:val="center"/>
                                    <w:rPr>
                                      <w:rFonts w:ascii="Arial" w:hAnsi="Arial" w:cs="Arial"/>
                                      <w:b/>
                                      <w:bCs/>
                                      <w:sz w:val="20"/>
                                    </w:rPr>
                                  </w:pPr>
                                  <w:r w:rsidRPr="00733404">
                                    <w:rPr>
                                      <w:rFonts w:ascii="Arial" w:hAnsi="Arial" w:cs="Arial"/>
                                      <w:b/>
                                      <w:bCs/>
                                      <w:sz w:val="20"/>
                                    </w:rPr>
                                    <w:t>Year</w:t>
                                  </w:r>
                                </w:p>
                              </w:tc>
                              <w:tc>
                                <w:tcPr>
                                  <w:tcW w:w="1160" w:type="dxa"/>
                                  <w:tcBorders>
                                    <w:top w:val="nil"/>
                                    <w:left w:val="nil"/>
                                    <w:bottom w:val="single" w:sz="4" w:space="0" w:color="000000"/>
                                    <w:right w:val="nil"/>
                                  </w:tcBorders>
                                  <w:shd w:val="clear" w:color="auto" w:fill="auto"/>
                                  <w:hideMark/>
                                </w:tcPr>
                                <w:p w14:paraId="6AB49F47" w14:textId="77777777" w:rsidR="00D36D98" w:rsidRPr="00733404" w:rsidRDefault="00D36D98" w:rsidP="00D36D98">
                                  <w:pPr>
                                    <w:jc w:val="center"/>
                                    <w:rPr>
                                      <w:rFonts w:ascii="Arial" w:hAnsi="Arial" w:cs="Arial"/>
                                      <w:b/>
                                      <w:bCs/>
                                      <w:sz w:val="20"/>
                                    </w:rPr>
                                  </w:pPr>
                                  <w:r w:rsidRPr="00733404">
                                    <w:rPr>
                                      <w:rFonts w:ascii="Arial" w:hAnsi="Arial" w:cs="Arial"/>
                                      <w:b/>
                                      <w:bCs/>
                                      <w:sz w:val="20"/>
                                    </w:rPr>
                                    <w:t>Years</w:t>
                                  </w:r>
                                </w:p>
                              </w:tc>
                              <w:tc>
                                <w:tcPr>
                                  <w:tcW w:w="1160" w:type="dxa"/>
                                  <w:tcBorders>
                                    <w:top w:val="nil"/>
                                    <w:left w:val="nil"/>
                                    <w:bottom w:val="single" w:sz="4" w:space="0" w:color="000000"/>
                                    <w:right w:val="nil"/>
                                  </w:tcBorders>
                                  <w:shd w:val="clear" w:color="auto" w:fill="auto"/>
                                  <w:hideMark/>
                                </w:tcPr>
                                <w:p w14:paraId="2E4F4C2C" w14:textId="77777777" w:rsidR="00D36D98" w:rsidRPr="00733404" w:rsidRDefault="00D36D98" w:rsidP="00D36D98">
                                  <w:pPr>
                                    <w:jc w:val="center"/>
                                    <w:rPr>
                                      <w:rFonts w:ascii="Arial" w:hAnsi="Arial" w:cs="Arial"/>
                                      <w:b/>
                                      <w:bCs/>
                                      <w:sz w:val="20"/>
                                    </w:rPr>
                                  </w:pPr>
                                  <w:r w:rsidRPr="00733404">
                                    <w:rPr>
                                      <w:rFonts w:ascii="Arial" w:hAnsi="Arial" w:cs="Arial"/>
                                      <w:b/>
                                      <w:bCs/>
                                      <w:sz w:val="20"/>
                                    </w:rPr>
                                    <w:t>Years</w:t>
                                  </w:r>
                                </w:p>
                              </w:tc>
                            </w:tr>
                            <w:tr w:rsidR="00D36D98" w:rsidRPr="00E34F67" w14:paraId="1FF64F2F" w14:textId="77777777" w:rsidTr="00D36D98">
                              <w:trPr>
                                <w:trHeight w:val="240"/>
                              </w:trPr>
                              <w:tc>
                                <w:tcPr>
                                  <w:tcW w:w="3220" w:type="dxa"/>
                                  <w:tcBorders>
                                    <w:top w:val="nil"/>
                                    <w:left w:val="nil"/>
                                    <w:bottom w:val="nil"/>
                                    <w:right w:val="nil"/>
                                  </w:tcBorders>
                                  <w:shd w:val="clear" w:color="auto" w:fill="auto"/>
                                  <w:hideMark/>
                                </w:tcPr>
                                <w:p w14:paraId="6DFF993B" w14:textId="77777777" w:rsidR="00D36D98" w:rsidRPr="00733404" w:rsidRDefault="00D36D98" w:rsidP="00D36D98">
                                  <w:pPr>
                                    <w:rPr>
                                      <w:rFonts w:ascii="Arial" w:hAnsi="Arial" w:cs="Arial"/>
                                      <w:b/>
                                      <w:bCs/>
                                      <w:sz w:val="20"/>
                                    </w:rPr>
                                  </w:pPr>
                                  <w:r w:rsidRPr="00733404">
                                    <w:rPr>
                                      <w:rFonts w:ascii="Arial" w:hAnsi="Arial" w:cs="Arial"/>
                                      <w:b/>
                                      <w:bCs/>
                                      <w:sz w:val="20"/>
                                    </w:rPr>
                                    <w:t>Domestic Equity</w:t>
                                  </w:r>
                                </w:p>
                              </w:tc>
                              <w:tc>
                                <w:tcPr>
                                  <w:tcW w:w="1600" w:type="dxa"/>
                                  <w:tcBorders>
                                    <w:top w:val="nil"/>
                                    <w:left w:val="nil"/>
                                    <w:bottom w:val="nil"/>
                                    <w:right w:val="nil"/>
                                  </w:tcBorders>
                                  <w:shd w:val="clear" w:color="auto" w:fill="auto"/>
                                  <w:vAlign w:val="center"/>
                                  <w:hideMark/>
                                </w:tcPr>
                                <w:p w14:paraId="01A64DFF" w14:textId="77777777" w:rsidR="00D36D98" w:rsidRPr="00733404" w:rsidRDefault="00D36D98" w:rsidP="00D36D98">
                                  <w:pPr>
                                    <w:jc w:val="right"/>
                                    <w:rPr>
                                      <w:rFonts w:ascii="Arial" w:hAnsi="Arial" w:cs="Arial"/>
                                      <w:b/>
                                      <w:bCs/>
                                      <w:sz w:val="20"/>
                                    </w:rPr>
                                  </w:pPr>
                                  <w:r w:rsidRPr="00733404">
                                    <w:rPr>
                                      <w:rFonts w:ascii="Arial" w:hAnsi="Arial" w:cs="Arial"/>
                                      <w:b/>
                                      <w:bCs/>
                                      <w:sz w:val="20"/>
                                    </w:rPr>
                                    <w:t>$171,109,624.00</w:t>
                                  </w:r>
                                </w:p>
                              </w:tc>
                              <w:tc>
                                <w:tcPr>
                                  <w:tcW w:w="1160" w:type="dxa"/>
                                  <w:tcBorders>
                                    <w:top w:val="nil"/>
                                    <w:left w:val="nil"/>
                                    <w:bottom w:val="nil"/>
                                    <w:right w:val="nil"/>
                                  </w:tcBorders>
                                  <w:shd w:val="clear" w:color="auto" w:fill="auto"/>
                                  <w:hideMark/>
                                </w:tcPr>
                                <w:p w14:paraId="640ACFEE" w14:textId="77777777" w:rsidR="00D36D98" w:rsidRPr="00733404" w:rsidRDefault="00D36D98" w:rsidP="00D36D98">
                                  <w:pPr>
                                    <w:jc w:val="center"/>
                                    <w:rPr>
                                      <w:rFonts w:ascii="Arial" w:hAnsi="Arial" w:cs="Arial"/>
                                      <w:b/>
                                      <w:bCs/>
                                      <w:sz w:val="20"/>
                                    </w:rPr>
                                  </w:pPr>
                                  <w:r w:rsidRPr="00733404">
                                    <w:rPr>
                                      <w:rFonts w:ascii="Arial" w:hAnsi="Arial" w:cs="Arial"/>
                                      <w:b/>
                                      <w:bCs/>
                                      <w:sz w:val="20"/>
                                    </w:rPr>
                                    <w:t>33.88%</w:t>
                                  </w:r>
                                </w:p>
                              </w:tc>
                              <w:tc>
                                <w:tcPr>
                                  <w:tcW w:w="1160" w:type="dxa"/>
                                  <w:tcBorders>
                                    <w:top w:val="nil"/>
                                    <w:left w:val="nil"/>
                                    <w:bottom w:val="nil"/>
                                    <w:right w:val="nil"/>
                                  </w:tcBorders>
                                  <w:shd w:val="clear" w:color="auto" w:fill="auto"/>
                                  <w:noWrap/>
                                  <w:hideMark/>
                                </w:tcPr>
                                <w:p w14:paraId="0DD7C252" w14:textId="77777777" w:rsidR="00D36D98" w:rsidRPr="00733404" w:rsidRDefault="00D36D98" w:rsidP="00D36D98">
                                  <w:pPr>
                                    <w:jc w:val="center"/>
                                    <w:rPr>
                                      <w:rFonts w:ascii="Arial" w:hAnsi="Arial" w:cs="Arial"/>
                                      <w:b/>
                                      <w:bCs/>
                                      <w:color w:val="000000"/>
                                      <w:sz w:val="20"/>
                                    </w:rPr>
                                  </w:pPr>
                                  <w:r w:rsidRPr="00733404">
                                    <w:rPr>
                                      <w:rFonts w:ascii="Arial" w:hAnsi="Arial" w:cs="Arial"/>
                                      <w:b/>
                                      <w:bCs/>
                                      <w:color w:val="000000"/>
                                      <w:sz w:val="20"/>
                                    </w:rPr>
                                    <w:t>26.41%</w:t>
                                  </w:r>
                                </w:p>
                              </w:tc>
                              <w:tc>
                                <w:tcPr>
                                  <w:tcW w:w="1160" w:type="dxa"/>
                                  <w:tcBorders>
                                    <w:top w:val="nil"/>
                                    <w:left w:val="nil"/>
                                    <w:bottom w:val="nil"/>
                                    <w:right w:val="nil"/>
                                  </w:tcBorders>
                                  <w:shd w:val="clear" w:color="auto" w:fill="auto"/>
                                  <w:noWrap/>
                                  <w:hideMark/>
                                </w:tcPr>
                                <w:p w14:paraId="29466F19" w14:textId="77777777" w:rsidR="00D36D98" w:rsidRPr="00733404" w:rsidRDefault="00D36D98" w:rsidP="00D36D98">
                                  <w:pPr>
                                    <w:jc w:val="center"/>
                                    <w:rPr>
                                      <w:rFonts w:ascii="Arial" w:hAnsi="Arial" w:cs="Arial"/>
                                      <w:b/>
                                      <w:bCs/>
                                      <w:color w:val="000000"/>
                                      <w:sz w:val="20"/>
                                    </w:rPr>
                                  </w:pPr>
                                  <w:r w:rsidRPr="00733404">
                                    <w:rPr>
                                      <w:rFonts w:ascii="Arial" w:hAnsi="Arial" w:cs="Arial"/>
                                      <w:b/>
                                      <w:bCs/>
                                      <w:color w:val="000000"/>
                                      <w:sz w:val="20"/>
                                    </w:rPr>
                                    <w:t>25.94%</w:t>
                                  </w:r>
                                </w:p>
                              </w:tc>
                              <w:tc>
                                <w:tcPr>
                                  <w:tcW w:w="1160" w:type="dxa"/>
                                  <w:tcBorders>
                                    <w:top w:val="nil"/>
                                    <w:left w:val="nil"/>
                                    <w:bottom w:val="nil"/>
                                    <w:right w:val="nil"/>
                                  </w:tcBorders>
                                  <w:shd w:val="clear" w:color="auto" w:fill="auto"/>
                                  <w:noWrap/>
                                  <w:hideMark/>
                                </w:tcPr>
                                <w:p w14:paraId="0E20EB7A" w14:textId="77777777" w:rsidR="00D36D98" w:rsidRPr="00733404" w:rsidRDefault="00D36D98" w:rsidP="00D36D98">
                                  <w:pPr>
                                    <w:jc w:val="center"/>
                                    <w:rPr>
                                      <w:rFonts w:ascii="Arial" w:hAnsi="Arial" w:cs="Arial"/>
                                      <w:b/>
                                      <w:bCs/>
                                      <w:color w:val="000000"/>
                                      <w:sz w:val="20"/>
                                    </w:rPr>
                                  </w:pPr>
                                  <w:r w:rsidRPr="00733404">
                                    <w:rPr>
                                      <w:rFonts w:ascii="Arial" w:hAnsi="Arial" w:cs="Arial"/>
                                      <w:b/>
                                      <w:bCs/>
                                      <w:color w:val="000000"/>
                                      <w:sz w:val="20"/>
                                    </w:rPr>
                                    <w:t>17.67%</w:t>
                                  </w:r>
                                </w:p>
                              </w:tc>
                            </w:tr>
                            <w:tr w:rsidR="00D36D98" w:rsidRPr="00E34F67" w14:paraId="1EACE110" w14:textId="77777777" w:rsidTr="00D36D98">
                              <w:trPr>
                                <w:trHeight w:val="240"/>
                              </w:trPr>
                              <w:tc>
                                <w:tcPr>
                                  <w:tcW w:w="3220" w:type="dxa"/>
                                  <w:tcBorders>
                                    <w:top w:val="nil"/>
                                    <w:left w:val="nil"/>
                                    <w:bottom w:val="nil"/>
                                    <w:right w:val="nil"/>
                                  </w:tcBorders>
                                  <w:shd w:val="clear" w:color="auto" w:fill="auto"/>
                                  <w:hideMark/>
                                </w:tcPr>
                                <w:p w14:paraId="474889D4" w14:textId="77777777" w:rsidR="00D36D98" w:rsidRPr="00733404" w:rsidRDefault="00D36D98" w:rsidP="00D36D98">
                                  <w:pPr>
                                    <w:rPr>
                                      <w:rFonts w:ascii="Arial" w:hAnsi="Arial" w:cs="Arial"/>
                                      <w:b/>
                                      <w:bCs/>
                                      <w:sz w:val="20"/>
                                    </w:rPr>
                                  </w:pPr>
                                  <w:r w:rsidRPr="00733404">
                                    <w:rPr>
                                      <w:rFonts w:ascii="Arial" w:hAnsi="Arial" w:cs="Arial"/>
                                      <w:b/>
                                      <w:bCs/>
                                      <w:sz w:val="20"/>
                                    </w:rPr>
                                    <w:t>Large Cap Equity</w:t>
                                  </w:r>
                                </w:p>
                              </w:tc>
                              <w:tc>
                                <w:tcPr>
                                  <w:tcW w:w="1600" w:type="dxa"/>
                                  <w:tcBorders>
                                    <w:top w:val="nil"/>
                                    <w:left w:val="nil"/>
                                    <w:bottom w:val="nil"/>
                                    <w:right w:val="nil"/>
                                  </w:tcBorders>
                                  <w:shd w:val="clear" w:color="auto" w:fill="auto"/>
                                  <w:vAlign w:val="center"/>
                                  <w:hideMark/>
                                </w:tcPr>
                                <w:p w14:paraId="44DC55FE" w14:textId="77777777" w:rsidR="00D36D98" w:rsidRPr="00733404" w:rsidRDefault="00D36D98" w:rsidP="00D36D98">
                                  <w:pPr>
                                    <w:jc w:val="right"/>
                                    <w:rPr>
                                      <w:rFonts w:ascii="Arial" w:hAnsi="Arial" w:cs="Arial"/>
                                      <w:b/>
                                      <w:bCs/>
                                      <w:sz w:val="20"/>
                                    </w:rPr>
                                  </w:pPr>
                                  <w:r w:rsidRPr="00733404">
                                    <w:rPr>
                                      <w:rFonts w:ascii="Arial" w:hAnsi="Arial" w:cs="Arial"/>
                                      <w:b/>
                                      <w:bCs/>
                                      <w:sz w:val="20"/>
                                    </w:rPr>
                                    <w:t>$125,193,900.00</w:t>
                                  </w:r>
                                </w:p>
                              </w:tc>
                              <w:tc>
                                <w:tcPr>
                                  <w:tcW w:w="1160" w:type="dxa"/>
                                  <w:tcBorders>
                                    <w:top w:val="nil"/>
                                    <w:left w:val="nil"/>
                                    <w:bottom w:val="nil"/>
                                    <w:right w:val="nil"/>
                                  </w:tcBorders>
                                  <w:shd w:val="clear" w:color="auto" w:fill="auto"/>
                                  <w:hideMark/>
                                </w:tcPr>
                                <w:p w14:paraId="53DBD228" w14:textId="77777777" w:rsidR="00D36D98" w:rsidRPr="00733404" w:rsidRDefault="00D36D98" w:rsidP="00D36D98">
                                  <w:pPr>
                                    <w:jc w:val="center"/>
                                    <w:rPr>
                                      <w:rFonts w:ascii="Arial" w:hAnsi="Arial" w:cs="Arial"/>
                                      <w:b/>
                                      <w:bCs/>
                                      <w:sz w:val="20"/>
                                    </w:rPr>
                                  </w:pPr>
                                  <w:r w:rsidRPr="00733404">
                                    <w:rPr>
                                      <w:rFonts w:ascii="Arial" w:hAnsi="Arial" w:cs="Arial"/>
                                      <w:b/>
                                      <w:bCs/>
                                      <w:sz w:val="20"/>
                                    </w:rPr>
                                    <w:t>24.79%</w:t>
                                  </w:r>
                                </w:p>
                              </w:tc>
                              <w:tc>
                                <w:tcPr>
                                  <w:tcW w:w="1160" w:type="dxa"/>
                                  <w:tcBorders>
                                    <w:top w:val="nil"/>
                                    <w:left w:val="nil"/>
                                    <w:bottom w:val="nil"/>
                                    <w:right w:val="nil"/>
                                  </w:tcBorders>
                                  <w:shd w:val="clear" w:color="auto" w:fill="auto"/>
                                  <w:noWrap/>
                                  <w:hideMark/>
                                </w:tcPr>
                                <w:p w14:paraId="331A1D0D" w14:textId="77777777" w:rsidR="00D36D98" w:rsidRPr="00733404" w:rsidRDefault="00D36D98" w:rsidP="00D36D98">
                                  <w:pPr>
                                    <w:jc w:val="center"/>
                                    <w:rPr>
                                      <w:rFonts w:ascii="Arial" w:hAnsi="Arial" w:cs="Arial"/>
                                      <w:b/>
                                      <w:bCs/>
                                      <w:color w:val="000000"/>
                                      <w:sz w:val="20"/>
                                    </w:rPr>
                                  </w:pPr>
                                  <w:r w:rsidRPr="00733404">
                                    <w:rPr>
                                      <w:rFonts w:ascii="Arial" w:hAnsi="Arial" w:cs="Arial"/>
                                      <w:b/>
                                      <w:bCs/>
                                      <w:color w:val="000000"/>
                                      <w:sz w:val="20"/>
                                    </w:rPr>
                                    <w:t>29.64%</w:t>
                                  </w:r>
                                </w:p>
                              </w:tc>
                              <w:tc>
                                <w:tcPr>
                                  <w:tcW w:w="1160" w:type="dxa"/>
                                  <w:tcBorders>
                                    <w:top w:val="nil"/>
                                    <w:left w:val="nil"/>
                                    <w:bottom w:val="nil"/>
                                    <w:right w:val="nil"/>
                                  </w:tcBorders>
                                  <w:shd w:val="clear" w:color="auto" w:fill="auto"/>
                                  <w:noWrap/>
                                  <w:hideMark/>
                                </w:tcPr>
                                <w:p w14:paraId="0BD9515F" w14:textId="77777777" w:rsidR="00D36D98" w:rsidRPr="00733404" w:rsidRDefault="00D36D98" w:rsidP="00D36D98">
                                  <w:pPr>
                                    <w:jc w:val="center"/>
                                    <w:rPr>
                                      <w:rFonts w:ascii="Arial" w:hAnsi="Arial" w:cs="Arial"/>
                                      <w:b/>
                                      <w:bCs/>
                                      <w:color w:val="000000"/>
                                      <w:sz w:val="20"/>
                                    </w:rPr>
                                  </w:pPr>
                                  <w:r w:rsidRPr="00733404">
                                    <w:rPr>
                                      <w:rFonts w:ascii="Arial" w:hAnsi="Arial" w:cs="Arial"/>
                                      <w:b/>
                                      <w:bCs/>
                                      <w:color w:val="000000"/>
                                      <w:sz w:val="20"/>
                                    </w:rPr>
                                    <w:t>25.24%</w:t>
                                  </w:r>
                                </w:p>
                              </w:tc>
                              <w:tc>
                                <w:tcPr>
                                  <w:tcW w:w="1160" w:type="dxa"/>
                                  <w:tcBorders>
                                    <w:top w:val="nil"/>
                                    <w:left w:val="nil"/>
                                    <w:bottom w:val="nil"/>
                                    <w:right w:val="nil"/>
                                  </w:tcBorders>
                                  <w:shd w:val="clear" w:color="auto" w:fill="auto"/>
                                  <w:noWrap/>
                                  <w:hideMark/>
                                </w:tcPr>
                                <w:p w14:paraId="2B134E3A" w14:textId="77777777" w:rsidR="00D36D98" w:rsidRPr="00733404" w:rsidRDefault="00D36D98" w:rsidP="00D36D98">
                                  <w:pPr>
                                    <w:jc w:val="center"/>
                                    <w:rPr>
                                      <w:rFonts w:ascii="Arial" w:hAnsi="Arial" w:cs="Arial"/>
                                      <w:b/>
                                      <w:bCs/>
                                      <w:color w:val="000000"/>
                                      <w:sz w:val="20"/>
                                    </w:rPr>
                                  </w:pPr>
                                  <w:r w:rsidRPr="00733404">
                                    <w:rPr>
                                      <w:rFonts w:ascii="Arial" w:hAnsi="Arial" w:cs="Arial"/>
                                      <w:b/>
                                      <w:bCs/>
                                      <w:color w:val="000000"/>
                                      <w:sz w:val="20"/>
                                    </w:rPr>
                                    <w:t>17.11%</w:t>
                                  </w:r>
                                </w:p>
                              </w:tc>
                            </w:tr>
                            <w:tr w:rsidR="00D36D98" w:rsidRPr="00E34F67" w14:paraId="1325E15E" w14:textId="77777777" w:rsidTr="00D36D98">
                              <w:trPr>
                                <w:trHeight w:val="240"/>
                              </w:trPr>
                              <w:tc>
                                <w:tcPr>
                                  <w:tcW w:w="3220" w:type="dxa"/>
                                  <w:tcBorders>
                                    <w:top w:val="nil"/>
                                    <w:left w:val="nil"/>
                                    <w:bottom w:val="nil"/>
                                    <w:right w:val="nil"/>
                                  </w:tcBorders>
                                  <w:shd w:val="clear" w:color="auto" w:fill="auto"/>
                                  <w:hideMark/>
                                </w:tcPr>
                                <w:p w14:paraId="6942DC0E" w14:textId="77777777" w:rsidR="00D36D98" w:rsidRPr="00733404" w:rsidRDefault="00D36D98" w:rsidP="00D36D98">
                                  <w:pPr>
                                    <w:rPr>
                                      <w:rFonts w:ascii="Arial" w:hAnsi="Arial" w:cs="Arial"/>
                                      <w:sz w:val="20"/>
                                    </w:rPr>
                                  </w:pPr>
                                  <w:r w:rsidRPr="00733404">
                                    <w:rPr>
                                      <w:rFonts w:ascii="Arial" w:hAnsi="Arial" w:cs="Arial"/>
                                      <w:sz w:val="20"/>
                                    </w:rPr>
                                    <w:t>NTAM S&amp;P 500 CF</w:t>
                                  </w:r>
                                </w:p>
                              </w:tc>
                              <w:tc>
                                <w:tcPr>
                                  <w:tcW w:w="1600" w:type="dxa"/>
                                  <w:tcBorders>
                                    <w:top w:val="nil"/>
                                    <w:left w:val="nil"/>
                                    <w:bottom w:val="nil"/>
                                    <w:right w:val="nil"/>
                                  </w:tcBorders>
                                  <w:shd w:val="clear" w:color="auto" w:fill="auto"/>
                                  <w:vAlign w:val="center"/>
                                  <w:hideMark/>
                                </w:tcPr>
                                <w:p w14:paraId="4500FC99" w14:textId="77777777" w:rsidR="00D36D98" w:rsidRPr="00733404" w:rsidRDefault="00D36D98" w:rsidP="00D36D98">
                                  <w:pPr>
                                    <w:jc w:val="right"/>
                                    <w:rPr>
                                      <w:rFonts w:ascii="Arial" w:hAnsi="Arial" w:cs="Arial"/>
                                      <w:sz w:val="20"/>
                                    </w:rPr>
                                  </w:pPr>
                                  <w:r w:rsidRPr="00733404">
                                    <w:rPr>
                                      <w:rFonts w:ascii="Arial" w:hAnsi="Arial" w:cs="Arial"/>
                                      <w:sz w:val="20"/>
                                    </w:rPr>
                                    <w:t>$125,149,086.00</w:t>
                                  </w:r>
                                </w:p>
                              </w:tc>
                              <w:tc>
                                <w:tcPr>
                                  <w:tcW w:w="1160" w:type="dxa"/>
                                  <w:tcBorders>
                                    <w:top w:val="nil"/>
                                    <w:left w:val="nil"/>
                                    <w:bottom w:val="nil"/>
                                    <w:right w:val="nil"/>
                                  </w:tcBorders>
                                  <w:shd w:val="clear" w:color="auto" w:fill="auto"/>
                                  <w:hideMark/>
                                </w:tcPr>
                                <w:p w14:paraId="51E7488E" w14:textId="77777777" w:rsidR="00D36D98" w:rsidRPr="00733404" w:rsidRDefault="00D36D98" w:rsidP="00D36D98">
                                  <w:pPr>
                                    <w:jc w:val="center"/>
                                    <w:rPr>
                                      <w:rFonts w:ascii="Arial" w:hAnsi="Arial" w:cs="Arial"/>
                                      <w:sz w:val="20"/>
                                    </w:rPr>
                                  </w:pPr>
                                  <w:r w:rsidRPr="00733404">
                                    <w:rPr>
                                      <w:rFonts w:ascii="Arial" w:hAnsi="Arial" w:cs="Arial"/>
                                      <w:sz w:val="20"/>
                                    </w:rPr>
                                    <w:t>24.78%</w:t>
                                  </w:r>
                                </w:p>
                              </w:tc>
                              <w:tc>
                                <w:tcPr>
                                  <w:tcW w:w="1160" w:type="dxa"/>
                                  <w:tcBorders>
                                    <w:top w:val="nil"/>
                                    <w:left w:val="nil"/>
                                    <w:bottom w:val="nil"/>
                                    <w:right w:val="nil"/>
                                  </w:tcBorders>
                                  <w:shd w:val="clear" w:color="auto" w:fill="auto"/>
                                  <w:noWrap/>
                                  <w:hideMark/>
                                </w:tcPr>
                                <w:p w14:paraId="30D75AA9" w14:textId="77777777" w:rsidR="00D36D98" w:rsidRPr="00733404" w:rsidRDefault="00D36D98" w:rsidP="00D36D98">
                                  <w:pPr>
                                    <w:jc w:val="center"/>
                                    <w:rPr>
                                      <w:rFonts w:ascii="Arial" w:hAnsi="Arial" w:cs="Arial"/>
                                      <w:color w:val="000000"/>
                                      <w:sz w:val="20"/>
                                    </w:rPr>
                                  </w:pPr>
                                  <w:r w:rsidRPr="00733404">
                                    <w:rPr>
                                      <w:rFonts w:ascii="Arial" w:hAnsi="Arial" w:cs="Arial"/>
                                      <w:color w:val="000000"/>
                                      <w:sz w:val="20"/>
                                    </w:rPr>
                                    <w:t>28.69%</w:t>
                                  </w:r>
                                </w:p>
                              </w:tc>
                              <w:tc>
                                <w:tcPr>
                                  <w:tcW w:w="1160" w:type="dxa"/>
                                  <w:tcBorders>
                                    <w:top w:val="nil"/>
                                    <w:left w:val="nil"/>
                                    <w:bottom w:val="nil"/>
                                    <w:right w:val="nil"/>
                                  </w:tcBorders>
                                  <w:shd w:val="clear" w:color="auto" w:fill="auto"/>
                                  <w:hideMark/>
                                </w:tcPr>
                                <w:p w14:paraId="50BDCE86" w14:textId="77777777" w:rsidR="00D36D98" w:rsidRPr="00733404" w:rsidRDefault="00D36D98" w:rsidP="00D36D98">
                                  <w:pPr>
                                    <w:jc w:val="center"/>
                                    <w:rPr>
                                      <w:rFonts w:ascii="Arial" w:hAnsi="Arial" w:cs="Arial"/>
                                      <w:sz w:val="20"/>
                                    </w:rPr>
                                  </w:pPr>
                                  <w:r w:rsidRPr="00733404">
                                    <w:rPr>
                                      <w:rFonts w:ascii="Arial" w:hAnsi="Arial" w:cs="Arial"/>
                                      <w:sz w:val="20"/>
                                    </w:rPr>
                                    <w:t>-</w:t>
                                  </w:r>
                                </w:p>
                              </w:tc>
                              <w:tc>
                                <w:tcPr>
                                  <w:tcW w:w="1160" w:type="dxa"/>
                                  <w:tcBorders>
                                    <w:top w:val="nil"/>
                                    <w:left w:val="nil"/>
                                    <w:bottom w:val="nil"/>
                                    <w:right w:val="nil"/>
                                  </w:tcBorders>
                                  <w:shd w:val="clear" w:color="auto" w:fill="auto"/>
                                  <w:hideMark/>
                                </w:tcPr>
                                <w:p w14:paraId="1CA8CF50" w14:textId="77777777" w:rsidR="00D36D98" w:rsidRPr="00733404" w:rsidRDefault="00D36D98" w:rsidP="00D36D98">
                                  <w:pPr>
                                    <w:jc w:val="center"/>
                                    <w:rPr>
                                      <w:rFonts w:ascii="Arial" w:hAnsi="Arial" w:cs="Arial"/>
                                      <w:sz w:val="20"/>
                                    </w:rPr>
                                  </w:pPr>
                                  <w:r w:rsidRPr="00733404">
                                    <w:rPr>
                                      <w:rFonts w:ascii="Arial" w:hAnsi="Arial" w:cs="Arial"/>
                                      <w:sz w:val="20"/>
                                    </w:rPr>
                                    <w:t>-</w:t>
                                  </w:r>
                                </w:p>
                              </w:tc>
                            </w:tr>
                            <w:tr w:rsidR="00D36D98" w:rsidRPr="00E34F67" w14:paraId="5809AABD" w14:textId="77777777" w:rsidTr="00D36D98">
                              <w:trPr>
                                <w:trHeight w:val="240"/>
                              </w:trPr>
                              <w:tc>
                                <w:tcPr>
                                  <w:tcW w:w="3220" w:type="dxa"/>
                                  <w:tcBorders>
                                    <w:top w:val="nil"/>
                                    <w:left w:val="nil"/>
                                    <w:bottom w:val="nil"/>
                                    <w:right w:val="nil"/>
                                  </w:tcBorders>
                                  <w:shd w:val="clear" w:color="auto" w:fill="auto"/>
                                  <w:vAlign w:val="center"/>
                                  <w:hideMark/>
                                </w:tcPr>
                                <w:p w14:paraId="2F439A8E" w14:textId="77777777" w:rsidR="00D36D98" w:rsidRPr="00733404" w:rsidRDefault="00D36D98" w:rsidP="00D36D98">
                                  <w:pPr>
                                    <w:rPr>
                                      <w:rFonts w:ascii="Arial" w:hAnsi="Arial" w:cs="Arial"/>
                                      <w:b/>
                                      <w:bCs/>
                                      <w:sz w:val="20"/>
                                    </w:rPr>
                                  </w:pPr>
                                  <w:r w:rsidRPr="00733404">
                                    <w:rPr>
                                      <w:rFonts w:ascii="Arial" w:hAnsi="Arial" w:cs="Arial"/>
                                      <w:b/>
                                      <w:bCs/>
                                      <w:sz w:val="20"/>
                                    </w:rPr>
                                    <w:t>Small Cap Equity</w:t>
                                  </w:r>
                                </w:p>
                              </w:tc>
                              <w:tc>
                                <w:tcPr>
                                  <w:tcW w:w="1600" w:type="dxa"/>
                                  <w:tcBorders>
                                    <w:top w:val="nil"/>
                                    <w:left w:val="nil"/>
                                    <w:bottom w:val="nil"/>
                                    <w:right w:val="nil"/>
                                  </w:tcBorders>
                                  <w:shd w:val="clear" w:color="auto" w:fill="auto"/>
                                  <w:vAlign w:val="center"/>
                                  <w:hideMark/>
                                </w:tcPr>
                                <w:p w14:paraId="4F8D1765" w14:textId="77777777" w:rsidR="00D36D98" w:rsidRPr="00733404" w:rsidRDefault="00D36D98" w:rsidP="00D36D98">
                                  <w:pPr>
                                    <w:jc w:val="right"/>
                                    <w:rPr>
                                      <w:rFonts w:ascii="Arial" w:hAnsi="Arial" w:cs="Arial"/>
                                      <w:b/>
                                      <w:bCs/>
                                      <w:sz w:val="20"/>
                                    </w:rPr>
                                  </w:pPr>
                                  <w:r w:rsidRPr="00733404">
                                    <w:rPr>
                                      <w:rFonts w:ascii="Arial" w:hAnsi="Arial" w:cs="Arial"/>
                                      <w:b/>
                                      <w:bCs/>
                                      <w:sz w:val="20"/>
                                    </w:rPr>
                                    <w:t>$45,915,724.00</w:t>
                                  </w:r>
                                </w:p>
                              </w:tc>
                              <w:tc>
                                <w:tcPr>
                                  <w:tcW w:w="1160" w:type="dxa"/>
                                  <w:tcBorders>
                                    <w:top w:val="nil"/>
                                    <w:left w:val="nil"/>
                                    <w:bottom w:val="nil"/>
                                    <w:right w:val="nil"/>
                                  </w:tcBorders>
                                  <w:shd w:val="clear" w:color="auto" w:fill="auto"/>
                                  <w:vAlign w:val="center"/>
                                  <w:hideMark/>
                                </w:tcPr>
                                <w:p w14:paraId="72C7676A" w14:textId="77777777" w:rsidR="00D36D98" w:rsidRPr="00733404" w:rsidRDefault="00D36D98" w:rsidP="00D36D98">
                                  <w:pPr>
                                    <w:jc w:val="center"/>
                                    <w:rPr>
                                      <w:rFonts w:ascii="Arial" w:hAnsi="Arial" w:cs="Arial"/>
                                      <w:b/>
                                      <w:bCs/>
                                      <w:sz w:val="20"/>
                                    </w:rPr>
                                  </w:pPr>
                                  <w:r w:rsidRPr="00733404">
                                    <w:rPr>
                                      <w:rFonts w:ascii="Arial" w:hAnsi="Arial" w:cs="Arial"/>
                                      <w:b/>
                                      <w:bCs/>
                                      <w:sz w:val="20"/>
                                    </w:rPr>
                                    <w:t>9.09%</w:t>
                                  </w:r>
                                </w:p>
                              </w:tc>
                              <w:tc>
                                <w:tcPr>
                                  <w:tcW w:w="1160" w:type="dxa"/>
                                  <w:tcBorders>
                                    <w:top w:val="nil"/>
                                    <w:left w:val="nil"/>
                                    <w:bottom w:val="nil"/>
                                    <w:right w:val="nil"/>
                                  </w:tcBorders>
                                  <w:shd w:val="clear" w:color="auto" w:fill="auto"/>
                                  <w:noWrap/>
                                  <w:vAlign w:val="center"/>
                                  <w:hideMark/>
                                </w:tcPr>
                                <w:p w14:paraId="66D732A9" w14:textId="77777777" w:rsidR="00D36D98" w:rsidRPr="00733404" w:rsidRDefault="00D36D98" w:rsidP="00D36D98">
                                  <w:pPr>
                                    <w:jc w:val="center"/>
                                    <w:rPr>
                                      <w:rFonts w:ascii="Arial" w:hAnsi="Arial" w:cs="Arial"/>
                                      <w:b/>
                                      <w:bCs/>
                                      <w:color w:val="000000"/>
                                      <w:sz w:val="20"/>
                                    </w:rPr>
                                  </w:pPr>
                                  <w:r w:rsidRPr="00733404">
                                    <w:rPr>
                                      <w:rFonts w:ascii="Arial" w:hAnsi="Arial" w:cs="Arial"/>
                                      <w:b/>
                                      <w:bCs/>
                                      <w:color w:val="000000"/>
                                      <w:sz w:val="20"/>
                                    </w:rPr>
                                    <w:t>17.13%</w:t>
                                  </w:r>
                                </w:p>
                              </w:tc>
                              <w:tc>
                                <w:tcPr>
                                  <w:tcW w:w="1160" w:type="dxa"/>
                                  <w:tcBorders>
                                    <w:top w:val="nil"/>
                                    <w:left w:val="nil"/>
                                    <w:bottom w:val="nil"/>
                                    <w:right w:val="nil"/>
                                  </w:tcBorders>
                                  <w:shd w:val="clear" w:color="auto" w:fill="auto"/>
                                  <w:noWrap/>
                                  <w:vAlign w:val="center"/>
                                  <w:hideMark/>
                                </w:tcPr>
                                <w:p w14:paraId="68BF5FA0" w14:textId="77777777" w:rsidR="00D36D98" w:rsidRPr="00733404" w:rsidRDefault="00D36D98" w:rsidP="00D36D98">
                                  <w:pPr>
                                    <w:jc w:val="center"/>
                                    <w:rPr>
                                      <w:rFonts w:ascii="Arial" w:hAnsi="Arial" w:cs="Arial"/>
                                      <w:b/>
                                      <w:bCs/>
                                      <w:color w:val="000000"/>
                                      <w:sz w:val="20"/>
                                    </w:rPr>
                                  </w:pPr>
                                  <w:r w:rsidRPr="00733404">
                                    <w:rPr>
                                      <w:rFonts w:ascii="Arial" w:hAnsi="Arial" w:cs="Arial"/>
                                      <w:b/>
                                      <w:bCs/>
                                      <w:color w:val="000000"/>
                                      <w:sz w:val="20"/>
                                    </w:rPr>
                                    <w:t>26.90%</w:t>
                                  </w:r>
                                </w:p>
                              </w:tc>
                              <w:tc>
                                <w:tcPr>
                                  <w:tcW w:w="1160" w:type="dxa"/>
                                  <w:tcBorders>
                                    <w:top w:val="nil"/>
                                    <w:left w:val="nil"/>
                                    <w:bottom w:val="nil"/>
                                    <w:right w:val="nil"/>
                                  </w:tcBorders>
                                  <w:shd w:val="clear" w:color="auto" w:fill="auto"/>
                                  <w:noWrap/>
                                  <w:vAlign w:val="center"/>
                                  <w:hideMark/>
                                </w:tcPr>
                                <w:p w14:paraId="10C45BFD" w14:textId="77777777" w:rsidR="00D36D98" w:rsidRPr="00733404" w:rsidRDefault="00D36D98" w:rsidP="00D36D98">
                                  <w:pPr>
                                    <w:jc w:val="center"/>
                                    <w:rPr>
                                      <w:rFonts w:ascii="Arial" w:hAnsi="Arial" w:cs="Arial"/>
                                      <w:b/>
                                      <w:bCs/>
                                      <w:color w:val="000000"/>
                                      <w:sz w:val="20"/>
                                    </w:rPr>
                                  </w:pPr>
                                  <w:r w:rsidRPr="00733404">
                                    <w:rPr>
                                      <w:rFonts w:ascii="Arial" w:hAnsi="Arial" w:cs="Arial"/>
                                      <w:b/>
                                      <w:bCs/>
                                      <w:color w:val="000000"/>
                                      <w:sz w:val="20"/>
                                    </w:rPr>
                                    <w:t>18.58%</w:t>
                                  </w:r>
                                </w:p>
                              </w:tc>
                            </w:tr>
                            <w:tr w:rsidR="00D36D98" w:rsidRPr="00E34F67" w14:paraId="28150238" w14:textId="77777777" w:rsidTr="00D36D98">
                              <w:trPr>
                                <w:trHeight w:val="240"/>
                              </w:trPr>
                              <w:tc>
                                <w:tcPr>
                                  <w:tcW w:w="3220" w:type="dxa"/>
                                  <w:tcBorders>
                                    <w:top w:val="nil"/>
                                    <w:left w:val="nil"/>
                                    <w:bottom w:val="nil"/>
                                    <w:right w:val="nil"/>
                                  </w:tcBorders>
                                  <w:shd w:val="clear" w:color="auto" w:fill="auto"/>
                                  <w:vAlign w:val="center"/>
                                  <w:hideMark/>
                                </w:tcPr>
                                <w:p w14:paraId="05E7E67C" w14:textId="77777777" w:rsidR="00D36D98" w:rsidRPr="00733404" w:rsidRDefault="00D36D98" w:rsidP="00D36D98">
                                  <w:pPr>
                                    <w:rPr>
                                      <w:rFonts w:ascii="Arial" w:hAnsi="Arial" w:cs="Arial"/>
                                      <w:sz w:val="20"/>
                                    </w:rPr>
                                  </w:pPr>
                                  <w:r w:rsidRPr="00733404">
                                    <w:rPr>
                                      <w:rFonts w:ascii="Arial" w:hAnsi="Arial" w:cs="Arial"/>
                                      <w:sz w:val="20"/>
                                    </w:rPr>
                                    <w:t>Brown Capital Management</w:t>
                                  </w:r>
                                </w:p>
                              </w:tc>
                              <w:tc>
                                <w:tcPr>
                                  <w:tcW w:w="1600" w:type="dxa"/>
                                  <w:tcBorders>
                                    <w:top w:val="nil"/>
                                    <w:left w:val="nil"/>
                                    <w:bottom w:val="nil"/>
                                    <w:right w:val="nil"/>
                                  </w:tcBorders>
                                  <w:shd w:val="clear" w:color="auto" w:fill="auto"/>
                                  <w:vAlign w:val="center"/>
                                  <w:hideMark/>
                                </w:tcPr>
                                <w:p w14:paraId="2C81E403" w14:textId="77777777" w:rsidR="00D36D98" w:rsidRPr="00733404" w:rsidRDefault="00D36D98" w:rsidP="00D36D98">
                                  <w:pPr>
                                    <w:jc w:val="right"/>
                                    <w:rPr>
                                      <w:rFonts w:ascii="Arial" w:hAnsi="Arial" w:cs="Arial"/>
                                      <w:sz w:val="20"/>
                                    </w:rPr>
                                  </w:pPr>
                                  <w:r w:rsidRPr="00733404">
                                    <w:rPr>
                                      <w:rFonts w:ascii="Arial" w:hAnsi="Arial" w:cs="Arial"/>
                                      <w:sz w:val="20"/>
                                    </w:rPr>
                                    <w:t>$11,628,284.00</w:t>
                                  </w:r>
                                </w:p>
                              </w:tc>
                              <w:tc>
                                <w:tcPr>
                                  <w:tcW w:w="1160" w:type="dxa"/>
                                  <w:tcBorders>
                                    <w:top w:val="nil"/>
                                    <w:left w:val="nil"/>
                                    <w:bottom w:val="nil"/>
                                    <w:right w:val="nil"/>
                                  </w:tcBorders>
                                  <w:shd w:val="clear" w:color="auto" w:fill="auto"/>
                                  <w:noWrap/>
                                  <w:vAlign w:val="center"/>
                                  <w:hideMark/>
                                </w:tcPr>
                                <w:p w14:paraId="0E150D14" w14:textId="77777777" w:rsidR="00D36D98" w:rsidRPr="00733404" w:rsidRDefault="00D36D98" w:rsidP="00D36D98">
                                  <w:pPr>
                                    <w:jc w:val="center"/>
                                    <w:rPr>
                                      <w:rFonts w:ascii="Arial" w:hAnsi="Arial" w:cs="Arial"/>
                                      <w:color w:val="000000"/>
                                      <w:sz w:val="20"/>
                                    </w:rPr>
                                  </w:pPr>
                                  <w:r w:rsidRPr="00733404">
                                    <w:rPr>
                                      <w:rFonts w:ascii="Arial" w:hAnsi="Arial" w:cs="Arial"/>
                                      <w:color w:val="000000"/>
                                      <w:sz w:val="20"/>
                                    </w:rPr>
                                    <w:t>2.30%</w:t>
                                  </w:r>
                                </w:p>
                              </w:tc>
                              <w:tc>
                                <w:tcPr>
                                  <w:tcW w:w="1160" w:type="dxa"/>
                                  <w:tcBorders>
                                    <w:top w:val="nil"/>
                                    <w:left w:val="nil"/>
                                    <w:bottom w:val="nil"/>
                                    <w:right w:val="nil"/>
                                  </w:tcBorders>
                                  <w:shd w:val="clear" w:color="auto" w:fill="auto"/>
                                  <w:vAlign w:val="center"/>
                                  <w:hideMark/>
                                </w:tcPr>
                                <w:p w14:paraId="58A35E67" w14:textId="77777777" w:rsidR="00D36D98" w:rsidRPr="00733404" w:rsidRDefault="00D36D98" w:rsidP="00D36D98">
                                  <w:pPr>
                                    <w:jc w:val="center"/>
                                    <w:rPr>
                                      <w:rFonts w:ascii="Arial" w:hAnsi="Arial" w:cs="Arial"/>
                                      <w:color w:val="000000"/>
                                      <w:sz w:val="20"/>
                                    </w:rPr>
                                  </w:pPr>
                                  <w:r w:rsidRPr="00733404">
                                    <w:rPr>
                                      <w:rFonts w:ascii="Arial" w:hAnsi="Arial" w:cs="Arial"/>
                                      <w:color w:val="000000"/>
                                      <w:sz w:val="20"/>
                                    </w:rPr>
                                    <w:t>-4.38%</w:t>
                                  </w:r>
                                </w:p>
                              </w:tc>
                              <w:tc>
                                <w:tcPr>
                                  <w:tcW w:w="1160" w:type="dxa"/>
                                  <w:tcBorders>
                                    <w:top w:val="nil"/>
                                    <w:left w:val="nil"/>
                                    <w:bottom w:val="nil"/>
                                    <w:right w:val="nil"/>
                                  </w:tcBorders>
                                  <w:shd w:val="clear" w:color="auto" w:fill="auto"/>
                                  <w:noWrap/>
                                  <w:vAlign w:val="center"/>
                                  <w:hideMark/>
                                </w:tcPr>
                                <w:p w14:paraId="0E6980B8" w14:textId="77777777" w:rsidR="00D36D98" w:rsidRPr="00733404" w:rsidRDefault="00D36D98" w:rsidP="00D36D98">
                                  <w:pPr>
                                    <w:jc w:val="center"/>
                                    <w:rPr>
                                      <w:rFonts w:ascii="Arial" w:hAnsi="Arial" w:cs="Arial"/>
                                      <w:color w:val="000000"/>
                                      <w:sz w:val="20"/>
                                    </w:rPr>
                                  </w:pPr>
                                  <w:r w:rsidRPr="00733404">
                                    <w:rPr>
                                      <w:rFonts w:ascii="Arial" w:hAnsi="Arial" w:cs="Arial"/>
                                      <w:color w:val="000000"/>
                                      <w:sz w:val="20"/>
                                    </w:rPr>
                                    <w:t>22.72%</w:t>
                                  </w:r>
                                </w:p>
                              </w:tc>
                              <w:tc>
                                <w:tcPr>
                                  <w:tcW w:w="1160" w:type="dxa"/>
                                  <w:tcBorders>
                                    <w:top w:val="nil"/>
                                    <w:left w:val="nil"/>
                                    <w:bottom w:val="nil"/>
                                    <w:right w:val="nil"/>
                                  </w:tcBorders>
                                  <w:shd w:val="clear" w:color="auto" w:fill="auto"/>
                                  <w:noWrap/>
                                  <w:vAlign w:val="center"/>
                                  <w:hideMark/>
                                </w:tcPr>
                                <w:p w14:paraId="007BCA85" w14:textId="77777777" w:rsidR="00D36D98" w:rsidRPr="00733404" w:rsidRDefault="00D36D98" w:rsidP="00D36D98">
                                  <w:pPr>
                                    <w:jc w:val="center"/>
                                    <w:rPr>
                                      <w:rFonts w:ascii="Arial" w:hAnsi="Arial" w:cs="Arial"/>
                                      <w:color w:val="000000"/>
                                      <w:sz w:val="20"/>
                                    </w:rPr>
                                  </w:pPr>
                                  <w:r w:rsidRPr="00733404">
                                    <w:rPr>
                                      <w:rFonts w:ascii="Arial" w:hAnsi="Arial" w:cs="Arial"/>
                                      <w:color w:val="000000"/>
                                      <w:sz w:val="20"/>
                                    </w:rPr>
                                    <w:t>19.87%</w:t>
                                  </w:r>
                                </w:p>
                              </w:tc>
                            </w:tr>
                            <w:tr w:rsidR="00D36D98" w:rsidRPr="00E34F67" w14:paraId="460CA521" w14:textId="77777777" w:rsidTr="00D36D98">
                              <w:trPr>
                                <w:trHeight w:val="240"/>
                              </w:trPr>
                              <w:tc>
                                <w:tcPr>
                                  <w:tcW w:w="3220" w:type="dxa"/>
                                  <w:tcBorders>
                                    <w:top w:val="nil"/>
                                    <w:left w:val="nil"/>
                                    <w:bottom w:val="nil"/>
                                    <w:right w:val="nil"/>
                                  </w:tcBorders>
                                  <w:shd w:val="clear" w:color="auto" w:fill="auto"/>
                                  <w:vAlign w:val="center"/>
                                  <w:hideMark/>
                                </w:tcPr>
                                <w:p w14:paraId="4902F722" w14:textId="77777777" w:rsidR="00D36D98" w:rsidRPr="00733404" w:rsidRDefault="00D36D98" w:rsidP="00D36D98">
                                  <w:pPr>
                                    <w:rPr>
                                      <w:rFonts w:ascii="Arial" w:hAnsi="Arial" w:cs="Arial"/>
                                      <w:sz w:val="20"/>
                                    </w:rPr>
                                  </w:pPr>
                                  <w:r w:rsidRPr="00733404">
                                    <w:rPr>
                                      <w:rFonts w:ascii="Arial" w:hAnsi="Arial" w:cs="Arial"/>
                                      <w:sz w:val="20"/>
                                    </w:rPr>
                                    <w:t xml:space="preserve">Boston </w:t>
                                  </w:r>
                                  <w:proofErr w:type="spellStart"/>
                                  <w:r w:rsidRPr="00733404">
                                    <w:rPr>
                                      <w:rFonts w:ascii="Arial" w:hAnsi="Arial" w:cs="Arial"/>
                                      <w:sz w:val="20"/>
                                    </w:rPr>
                                    <w:t>SmallMid</w:t>
                                  </w:r>
                                  <w:proofErr w:type="spellEnd"/>
                                  <w:r w:rsidRPr="00733404">
                                    <w:rPr>
                                      <w:rFonts w:ascii="Arial" w:hAnsi="Arial" w:cs="Arial"/>
                                      <w:sz w:val="20"/>
                                    </w:rPr>
                                    <w:t xml:space="preserve"> Cap Value</w:t>
                                  </w:r>
                                </w:p>
                              </w:tc>
                              <w:tc>
                                <w:tcPr>
                                  <w:tcW w:w="1600" w:type="dxa"/>
                                  <w:tcBorders>
                                    <w:top w:val="nil"/>
                                    <w:left w:val="nil"/>
                                    <w:bottom w:val="nil"/>
                                    <w:right w:val="nil"/>
                                  </w:tcBorders>
                                  <w:shd w:val="clear" w:color="auto" w:fill="auto"/>
                                  <w:noWrap/>
                                  <w:vAlign w:val="center"/>
                                  <w:hideMark/>
                                </w:tcPr>
                                <w:p w14:paraId="11CFC210" w14:textId="77777777" w:rsidR="00D36D98" w:rsidRPr="00733404" w:rsidRDefault="00D36D98" w:rsidP="00D36D98">
                                  <w:pPr>
                                    <w:jc w:val="right"/>
                                    <w:rPr>
                                      <w:rFonts w:ascii="Arial" w:hAnsi="Arial" w:cs="Arial"/>
                                      <w:color w:val="000000"/>
                                      <w:sz w:val="20"/>
                                    </w:rPr>
                                  </w:pPr>
                                  <w:r w:rsidRPr="00733404">
                                    <w:rPr>
                                      <w:rFonts w:ascii="Arial" w:hAnsi="Arial" w:cs="Arial"/>
                                      <w:color w:val="000000"/>
                                      <w:sz w:val="20"/>
                                    </w:rPr>
                                    <w:t>$16,295,571.00</w:t>
                                  </w:r>
                                </w:p>
                              </w:tc>
                              <w:tc>
                                <w:tcPr>
                                  <w:tcW w:w="1160" w:type="dxa"/>
                                  <w:tcBorders>
                                    <w:top w:val="nil"/>
                                    <w:left w:val="nil"/>
                                    <w:bottom w:val="nil"/>
                                    <w:right w:val="nil"/>
                                  </w:tcBorders>
                                  <w:shd w:val="clear" w:color="auto" w:fill="auto"/>
                                  <w:noWrap/>
                                  <w:vAlign w:val="center"/>
                                  <w:hideMark/>
                                </w:tcPr>
                                <w:p w14:paraId="6A548E6A" w14:textId="77777777" w:rsidR="00D36D98" w:rsidRPr="00733404" w:rsidRDefault="00D36D98" w:rsidP="00D36D98">
                                  <w:pPr>
                                    <w:jc w:val="center"/>
                                    <w:rPr>
                                      <w:rFonts w:ascii="Arial" w:hAnsi="Arial" w:cs="Arial"/>
                                      <w:color w:val="000000"/>
                                      <w:sz w:val="20"/>
                                    </w:rPr>
                                  </w:pPr>
                                  <w:r w:rsidRPr="00733404">
                                    <w:rPr>
                                      <w:rFonts w:ascii="Arial" w:hAnsi="Arial" w:cs="Arial"/>
                                      <w:color w:val="000000"/>
                                      <w:sz w:val="20"/>
                                    </w:rPr>
                                    <w:t>3.23%</w:t>
                                  </w:r>
                                </w:p>
                              </w:tc>
                              <w:tc>
                                <w:tcPr>
                                  <w:tcW w:w="1160" w:type="dxa"/>
                                  <w:tcBorders>
                                    <w:top w:val="nil"/>
                                    <w:left w:val="nil"/>
                                    <w:bottom w:val="nil"/>
                                    <w:right w:val="nil"/>
                                  </w:tcBorders>
                                  <w:shd w:val="clear" w:color="auto" w:fill="auto"/>
                                  <w:noWrap/>
                                  <w:vAlign w:val="center"/>
                                  <w:hideMark/>
                                </w:tcPr>
                                <w:p w14:paraId="48E877F6" w14:textId="77777777" w:rsidR="00D36D98" w:rsidRPr="00733404" w:rsidRDefault="00D36D98" w:rsidP="00D36D98">
                                  <w:pPr>
                                    <w:jc w:val="center"/>
                                    <w:rPr>
                                      <w:rFonts w:ascii="Arial" w:hAnsi="Arial" w:cs="Arial"/>
                                      <w:color w:val="000000"/>
                                      <w:sz w:val="20"/>
                                    </w:rPr>
                                  </w:pPr>
                                  <w:r w:rsidRPr="00733404">
                                    <w:rPr>
                                      <w:rFonts w:ascii="Arial" w:hAnsi="Arial" w:cs="Arial"/>
                                      <w:color w:val="000000"/>
                                      <w:sz w:val="20"/>
                                    </w:rPr>
                                    <w:t>27.60%</w:t>
                                  </w:r>
                                </w:p>
                              </w:tc>
                              <w:tc>
                                <w:tcPr>
                                  <w:tcW w:w="1160" w:type="dxa"/>
                                  <w:tcBorders>
                                    <w:top w:val="nil"/>
                                    <w:left w:val="nil"/>
                                    <w:bottom w:val="nil"/>
                                    <w:right w:val="nil"/>
                                  </w:tcBorders>
                                  <w:shd w:val="clear" w:color="auto" w:fill="auto"/>
                                  <w:vAlign w:val="center"/>
                                  <w:hideMark/>
                                </w:tcPr>
                                <w:p w14:paraId="194EF116" w14:textId="77777777" w:rsidR="00D36D98" w:rsidRPr="00733404" w:rsidRDefault="00D36D98" w:rsidP="00D36D98">
                                  <w:pPr>
                                    <w:jc w:val="center"/>
                                    <w:rPr>
                                      <w:rFonts w:ascii="Arial" w:hAnsi="Arial" w:cs="Arial"/>
                                      <w:sz w:val="20"/>
                                    </w:rPr>
                                  </w:pPr>
                                  <w:r w:rsidRPr="00733404">
                                    <w:rPr>
                                      <w:rFonts w:ascii="Arial" w:hAnsi="Arial" w:cs="Arial"/>
                                      <w:sz w:val="20"/>
                                    </w:rPr>
                                    <w:t>-</w:t>
                                  </w:r>
                                </w:p>
                              </w:tc>
                              <w:tc>
                                <w:tcPr>
                                  <w:tcW w:w="1160" w:type="dxa"/>
                                  <w:tcBorders>
                                    <w:top w:val="nil"/>
                                    <w:left w:val="nil"/>
                                    <w:bottom w:val="nil"/>
                                    <w:right w:val="nil"/>
                                  </w:tcBorders>
                                  <w:shd w:val="clear" w:color="auto" w:fill="auto"/>
                                  <w:hideMark/>
                                </w:tcPr>
                                <w:p w14:paraId="04838EDF" w14:textId="77777777" w:rsidR="00D36D98" w:rsidRPr="00733404" w:rsidRDefault="00D36D98" w:rsidP="00D36D98">
                                  <w:pPr>
                                    <w:jc w:val="center"/>
                                    <w:rPr>
                                      <w:rFonts w:ascii="Arial" w:hAnsi="Arial" w:cs="Arial"/>
                                      <w:sz w:val="20"/>
                                    </w:rPr>
                                  </w:pPr>
                                  <w:r w:rsidRPr="00733404">
                                    <w:rPr>
                                      <w:rFonts w:ascii="Arial" w:hAnsi="Arial" w:cs="Arial"/>
                                      <w:sz w:val="20"/>
                                    </w:rPr>
                                    <w:t>-</w:t>
                                  </w:r>
                                </w:p>
                              </w:tc>
                            </w:tr>
                            <w:tr w:rsidR="00D36D98" w:rsidRPr="00E34F67" w14:paraId="6B1111EE" w14:textId="77777777" w:rsidTr="00D36D98">
                              <w:trPr>
                                <w:trHeight w:val="240"/>
                              </w:trPr>
                              <w:tc>
                                <w:tcPr>
                                  <w:tcW w:w="3220" w:type="dxa"/>
                                  <w:tcBorders>
                                    <w:top w:val="nil"/>
                                    <w:left w:val="nil"/>
                                    <w:bottom w:val="nil"/>
                                    <w:right w:val="nil"/>
                                  </w:tcBorders>
                                  <w:shd w:val="clear" w:color="auto" w:fill="auto"/>
                                  <w:vAlign w:val="center"/>
                                  <w:hideMark/>
                                </w:tcPr>
                                <w:p w14:paraId="6E27AB97" w14:textId="19E15A90" w:rsidR="00D36D98" w:rsidRPr="00733404" w:rsidRDefault="00D36D98" w:rsidP="00D36D98">
                                  <w:pPr>
                                    <w:rPr>
                                      <w:rFonts w:ascii="Arial" w:hAnsi="Arial" w:cs="Arial"/>
                                      <w:sz w:val="20"/>
                                    </w:rPr>
                                  </w:pPr>
                                  <w:r w:rsidRPr="00733404">
                                    <w:rPr>
                                      <w:rFonts w:ascii="Arial" w:hAnsi="Arial" w:cs="Arial"/>
                                      <w:sz w:val="20"/>
                                    </w:rPr>
                                    <w:t>Mesirow SMC Value CIT</w:t>
                                  </w:r>
                                </w:p>
                              </w:tc>
                              <w:tc>
                                <w:tcPr>
                                  <w:tcW w:w="1600" w:type="dxa"/>
                                  <w:tcBorders>
                                    <w:top w:val="nil"/>
                                    <w:left w:val="nil"/>
                                    <w:bottom w:val="nil"/>
                                    <w:right w:val="nil"/>
                                  </w:tcBorders>
                                  <w:shd w:val="clear" w:color="auto" w:fill="auto"/>
                                  <w:vAlign w:val="center"/>
                                  <w:hideMark/>
                                </w:tcPr>
                                <w:p w14:paraId="02EEC070" w14:textId="77777777" w:rsidR="00D36D98" w:rsidRPr="00733404" w:rsidRDefault="00D36D98" w:rsidP="00D36D98">
                                  <w:pPr>
                                    <w:jc w:val="right"/>
                                    <w:rPr>
                                      <w:rFonts w:ascii="Arial" w:hAnsi="Arial" w:cs="Arial"/>
                                      <w:sz w:val="20"/>
                                    </w:rPr>
                                  </w:pPr>
                                  <w:r w:rsidRPr="00733404">
                                    <w:rPr>
                                      <w:rFonts w:ascii="Arial" w:hAnsi="Arial" w:cs="Arial"/>
                                      <w:sz w:val="20"/>
                                    </w:rPr>
                                    <w:t>$17,991,868.00</w:t>
                                  </w:r>
                                </w:p>
                              </w:tc>
                              <w:tc>
                                <w:tcPr>
                                  <w:tcW w:w="1160" w:type="dxa"/>
                                  <w:tcBorders>
                                    <w:top w:val="nil"/>
                                    <w:left w:val="nil"/>
                                    <w:bottom w:val="nil"/>
                                    <w:right w:val="nil"/>
                                  </w:tcBorders>
                                  <w:shd w:val="clear" w:color="auto" w:fill="auto"/>
                                  <w:vAlign w:val="center"/>
                                  <w:hideMark/>
                                </w:tcPr>
                                <w:p w14:paraId="1C59307A" w14:textId="77777777" w:rsidR="00D36D98" w:rsidRPr="00733404" w:rsidRDefault="00D36D98" w:rsidP="00D36D98">
                                  <w:pPr>
                                    <w:jc w:val="center"/>
                                    <w:rPr>
                                      <w:rFonts w:ascii="Arial" w:hAnsi="Arial" w:cs="Arial"/>
                                      <w:sz w:val="20"/>
                                    </w:rPr>
                                  </w:pPr>
                                  <w:r w:rsidRPr="00733404">
                                    <w:rPr>
                                      <w:rFonts w:ascii="Arial" w:hAnsi="Arial" w:cs="Arial"/>
                                      <w:sz w:val="20"/>
                                    </w:rPr>
                                    <w:t>3.56%</w:t>
                                  </w:r>
                                </w:p>
                              </w:tc>
                              <w:tc>
                                <w:tcPr>
                                  <w:tcW w:w="1160" w:type="dxa"/>
                                  <w:tcBorders>
                                    <w:top w:val="nil"/>
                                    <w:left w:val="nil"/>
                                    <w:bottom w:val="nil"/>
                                    <w:right w:val="nil"/>
                                  </w:tcBorders>
                                  <w:shd w:val="clear" w:color="auto" w:fill="auto"/>
                                  <w:noWrap/>
                                  <w:vAlign w:val="center"/>
                                  <w:hideMark/>
                                </w:tcPr>
                                <w:p w14:paraId="24A57D1C" w14:textId="77777777" w:rsidR="00D36D98" w:rsidRPr="00733404" w:rsidRDefault="00D36D98" w:rsidP="00D36D98">
                                  <w:pPr>
                                    <w:jc w:val="center"/>
                                    <w:rPr>
                                      <w:rFonts w:ascii="Arial" w:hAnsi="Arial" w:cs="Arial"/>
                                      <w:color w:val="000000"/>
                                      <w:sz w:val="20"/>
                                    </w:rPr>
                                  </w:pPr>
                                  <w:r w:rsidRPr="00733404">
                                    <w:rPr>
                                      <w:rFonts w:ascii="Arial" w:hAnsi="Arial" w:cs="Arial"/>
                                      <w:color w:val="000000"/>
                                      <w:sz w:val="20"/>
                                    </w:rPr>
                                    <w:t>26.89%</w:t>
                                  </w:r>
                                </w:p>
                              </w:tc>
                              <w:tc>
                                <w:tcPr>
                                  <w:tcW w:w="1160" w:type="dxa"/>
                                  <w:tcBorders>
                                    <w:top w:val="nil"/>
                                    <w:left w:val="nil"/>
                                    <w:bottom w:val="nil"/>
                                    <w:right w:val="nil"/>
                                  </w:tcBorders>
                                  <w:shd w:val="clear" w:color="auto" w:fill="auto"/>
                                  <w:vAlign w:val="center"/>
                                  <w:hideMark/>
                                </w:tcPr>
                                <w:p w14:paraId="7BBD5BE8" w14:textId="77777777" w:rsidR="00D36D98" w:rsidRPr="00733404" w:rsidRDefault="00D36D98" w:rsidP="00D36D98">
                                  <w:pPr>
                                    <w:jc w:val="center"/>
                                    <w:rPr>
                                      <w:rFonts w:ascii="Arial" w:hAnsi="Arial" w:cs="Arial"/>
                                      <w:sz w:val="20"/>
                                    </w:rPr>
                                  </w:pPr>
                                  <w:r w:rsidRPr="00733404">
                                    <w:rPr>
                                      <w:rFonts w:ascii="Arial" w:hAnsi="Arial" w:cs="Arial"/>
                                      <w:sz w:val="20"/>
                                    </w:rPr>
                                    <w:t>-</w:t>
                                  </w:r>
                                </w:p>
                              </w:tc>
                              <w:tc>
                                <w:tcPr>
                                  <w:tcW w:w="1160" w:type="dxa"/>
                                  <w:tcBorders>
                                    <w:top w:val="nil"/>
                                    <w:left w:val="nil"/>
                                    <w:bottom w:val="nil"/>
                                    <w:right w:val="nil"/>
                                  </w:tcBorders>
                                  <w:shd w:val="clear" w:color="auto" w:fill="auto"/>
                                  <w:hideMark/>
                                </w:tcPr>
                                <w:p w14:paraId="2A7BD116" w14:textId="77777777" w:rsidR="00D36D98" w:rsidRPr="00733404" w:rsidRDefault="00D36D98" w:rsidP="00D36D98">
                                  <w:pPr>
                                    <w:jc w:val="center"/>
                                    <w:rPr>
                                      <w:rFonts w:ascii="Arial" w:hAnsi="Arial" w:cs="Arial"/>
                                      <w:sz w:val="20"/>
                                    </w:rPr>
                                  </w:pPr>
                                  <w:r w:rsidRPr="00733404">
                                    <w:rPr>
                                      <w:rFonts w:ascii="Arial" w:hAnsi="Arial" w:cs="Arial"/>
                                      <w:sz w:val="20"/>
                                    </w:rPr>
                                    <w:t>-</w:t>
                                  </w:r>
                                </w:p>
                              </w:tc>
                            </w:tr>
                            <w:tr w:rsidR="00D36D98" w:rsidRPr="00E34F67" w14:paraId="7AB6DE9C" w14:textId="77777777" w:rsidTr="00D36D98">
                              <w:trPr>
                                <w:trHeight w:val="240"/>
                              </w:trPr>
                              <w:tc>
                                <w:tcPr>
                                  <w:tcW w:w="3220" w:type="dxa"/>
                                  <w:tcBorders>
                                    <w:top w:val="nil"/>
                                    <w:left w:val="nil"/>
                                    <w:bottom w:val="nil"/>
                                    <w:right w:val="nil"/>
                                  </w:tcBorders>
                                  <w:shd w:val="clear" w:color="auto" w:fill="auto"/>
                                  <w:hideMark/>
                                </w:tcPr>
                                <w:p w14:paraId="08E9C89B" w14:textId="77777777" w:rsidR="00D36D98" w:rsidRPr="00733404" w:rsidRDefault="00D36D98" w:rsidP="00D36D98">
                                  <w:pPr>
                                    <w:rPr>
                                      <w:rFonts w:ascii="Arial" w:hAnsi="Arial" w:cs="Arial"/>
                                      <w:b/>
                                      <w:bCs/>
                                      <w:sz w:val="20"/>
                                    </w:rPr>
                                  </w:pPr>
                                  <w:r w:rsidRPr="00733404">
                                    <w:rPr>
                                      <w:rFonts w:ascii="Arial" w:hAnsi="Arial" w:cs="Arial"/>
                                      <w:b/>
                                      <w:bCs/>
                                      <w:sz w:val="20"/>
                                    </w:rPr>
                                    <w:t>International Equity</w:t>
                                  </w:r>
                                </w:p>
                              </w:tc>
                              <w:tc>
                                <w:tcPr>
                                  <w:tcW w:w="1600" w:type="dxa"/>
                                  <w:tcBorders>
                                    <w:top w:val="nil"/>
                                    <w:left w:val="nil"/>
                                    <w:bottom w:val="nil"/>
                                    <w:right w:val="nil"/>
                                  </w:tcBorders>
                                  <w:shd w:val="clear" w:color="auto" w:fill="auto"/>
                                  <w:vAlign w:val="center"/>
                                  <w:hideMark/>
                                </w:tcPr>
                                <w:p w14:paraId="0BC1A094" w14:textId="77777777" w:rsidR="00D36D98" w:rsidRPr="00733404" w:rsidRDefault="00D36D98" w:rsidP="00D36D98">
                                  <w:pPr>
                                    <w:jc w:val="right"/>
                                    <w:rPr>
                                      <w:rFonts w:ascii="Arial" w:hAnsi="Arial" w:cs="Arial"/>
                                      <w:b/>
                                      <w:bCs/>
                                      <w:sz w:val="20"/>
                                    </w:rPr>
                                  </w:pPr>
                                  <w:r w:rsidRPr="00733404">
                                    <w:rPr>
                                      <w:rFonts w:ascii="Arial" w:hAnsi="Arial" w:cs="Arial"/>
                                      <w:b/>
                                      <w:bCs/>
                                      <w:sz w:val="20"/>
                                    </w:rPr>
                                    <w:t>$124,961,988.00</w:t>
                                  </w:r>
                                </w:p>
                              </w:tc>
                              <w:tc>
                                <w:tcPr>
                                  <w:tcW w:w="1160" w:type="dxa"/>
                                  <w:tcBorders>
                                    <w:top w:val="nil"/>
                                    <w:left w:val="nil"/>
                                    <w:bottom w:val="nil"/>
                                    <w:right w:val="nil"/>
                                  </w:tcBorders>
                                  <w:shd w:val="clear" w:color="auto" w:fill="auto"/>
                                  <w:hideMark/>
                                </w:tcPr>
                                <w:p w14:paraId="1E39FF12" w14:textId="77777777" w:rsidR="00D36D98" w:rsidRPr="00733404" w:rsidRDefault="00D36D98" w:rsidP="00D36D98">
                                  <w:pPr>
                                    <w:jc w:val="center"/>
                                    <w:rPr>
                                      <w:rFonts w:ascii="Arial" w:hAnsi="Arial" w:cs="Arial"/>
                                      <w:b/>
                                      <w:bCs/>
                                      <w:sz w:val="20"/>
                                    </w:rPr>
                                  </w:pPr>
                                  <w:r w:rsidRPr="00733404">
                                    <w:rPr>
                                      <w:rFonts w:ascii="Arial" w:hAnsi="Arial" w:cs="Arial"/>
                                      <w:b/>
                                      <w:bCs/>
                                      <w:sz w:val="20"/>
                                    </w:rPr>
                                    <w:t>24.74%</w:t>
                                  </w:r>
                                </w:p>
                              </w:tc>
                              <w:tc>
                                <w:tcPr>
                                  <w:tcW w:w="1160" w:type="dxa"/>
                                  <w:tcBorders>
                                    <w:top w:val="nil"/>
                                    <w:left w:val="nil"/>
                                    <w:bottom w:val="nil"/>
                                    <w:right w:val="nil"/>
                                  </w:tcBorders>
                                  <w:shd w:val="clear" w:color="auto" w:fill="auto"/>
                                  <w:noWrap/>
                                  <w:hideMark/>
                                </w:tcPr>
                                <w:p w14:paraId="31FB1CF2" w14:textId="77777777" w:rsidR="00D36D98" w:rsidRPr="00733404" w:rsidRDefault="00D36D98" w:rsidP="00D36D98">
                                  <w:pPr>
                                    <w:jc w:val="center"/>
                                    <w:rPr>
                                      <w:rFonts w:ascii="Arial" w:hAnsi="Arial" w:cs="Arial"/>
                                      <w:b/>
                                      <w:bCs/>
                                      <w:color w:val="000000"/>
                                      <w:sz w:val="20"/>
                                    </w:rPr>
                                  </w:pPr>
                                  <w:r w:rsidRPr="00733404">
                                    <w:rPr>
                                      <w:rFonts w:ascii="Arial" w:hAnsi="Arial" w:cs="Arial"/>
                                      <w:b/>
                                      <w:bCs/>
                                      <w:color w:val="000000"/>
                                      <w:sz w:val="20"/>
                                    </w:rPr>
                                    <w:t>10.70%</w:t>
                                  </w:r>
                                </w:p>
                              </w:tc>
                              <w:tc>
                                <w:tcPr>
                                  <w:tcW w:w="1160" w:type="dxa"/>
                                  <w:tcBorders>
                                    <w:top w:val="nil"/>
                                    <w:left w:val="nil"/>
                                    <w:bottom w:val="nil"/>
                                    <w:right w:val="nil"/>
                                  </w:tcBorders>
                                  <w:shd w:val="clear" w:color="auto" w:fill="auto"/>
                                  <w:noWrap/>
                                  <w:hideMark/>
                                </w:tcPr>
                                <w:p w14:paraId="09924DBA" w14:textId="77777777" w:rsidR="00D36D98" w:rsidRPr="00733404" w:rsidRDefault="00D36D98" w:rsidP="00D36D98">
                                  <w:pPr>
                                    <w:jc w:val="center"/>
                                    <w:rPr>
                                      <w:rFonts w:ascii="Arial" w:hAnsi="Arial" w:cs="Arial"/>
                                      <w:b/>
                                      <w:bCs/>
                                      <w:color w:val="000000"/>
                                      <w:sz w:val="20"/>
                                    </w:rPr>
                                  </w:pPr>
                                  <w:r w:rsidRPr="00733404">
                                    <w:rPr>
                                      <w:rFonts w:ascii="Arial" w:hAnsi="Arial" w:cs="Arial"/>
                                      <w:b/>
                                      <w:bCs/>
                                      <w:color w:val="000000"/>
                                      <w:sz w:val="20"/>
                                    </w:rPr>
                                    <w:t>15.18%</w:t>
                                  </w:r>
                                </w:p>
                              </w:tc>
                              <w:tc>
                                <w:tcPr>
                                  <w:tcW w:w="1160" w:type="dxa"/>
                                  <w:tcBorders>
                                    <w:top w:val="nil"/>
                                    <w:left w:val="nil"/>
                                    <w:bottom w:val="nil"/>
                                    <w:right w:val="nil"/>
                                  </w:tcBorders>
                                  <w:shd w:val="clear" w:color="auto" w:fill="auto"/>
                                  <w:noWrap/>
                                  <w:hideMark/>
                                </w:tcPr>
                                <w:p w14:paraId="4CBC9BEE" w14:textId="77777777" w:rsidR="00D36D98" w:rsidRPr="00733404" w:rsidRDefault="00D36D98" w:rsidP="00D36D98">
                                  <w:pPr>
                                    <w:jc w:val="center"/>
                                    <w:rPr>
                                      <w:rFonts w:ascii="Arial" w:hAnsi="Arial" w:cs="Arial"/>
                                      <w:b/>
                                      <w:bCs/>
                                      <w:color w:val="000000"/>
                                      <w:sz w:val="20"/>
                                    </w:rPr>
                                  </w:pPr>
                                  <w:r w:rsidRPr="00733404">
                                    <w:rPr>
                                      <w:rFonts w:ascii="Arial" w:hAnsi="Arial" w:cs="Arial"/>
                                      <w:b/>
                                      <w:bCs/>
                                      <w:color w:val="000000"/>
                                      <w:sz w:val="20"/>
                                    </w:rPr>
                                    <w:t>10.27%</w:t>
                                  </w:r>
                                </w:p>
                              </w:tc>
                            </w:tr>
                            <w:tr w:rsidR="00D36D98" w:rsidRPr="00E34F67" w14:paraId="604F47C2" w14:textId="77777777" w:rsidTr="00D36D98">
                              <w:trPr>
                                <w:trHeight w:val="240"/>
                              </w:trPr>
                              <w:tc>
                                <w:tcPr>
                                  <w:tcW w:w="3220" w:type="dxa"/>
                                  <w:tcBorders>
                                    <w:top w:val="nil"/>
                                    <w:left w:val="nil"/>
                                    <w:bottom w:val="nil"/>
                                    <w:right w:val="nil"/>
                                  </w:tcBorders>
                                  <w:shd w:val="clear" w:color="auto" w:fill="auto"/>
                                  <w:hideMark/>
                                </w:tcPr>
                                <w:p w14:paraId="54870F1E" w14:textId="594DA5CA" w:rsidR="00D36D98" w:rsidRPr="00733404" w:rsidRDefault="00D36D98" w:rsidP="00D36D98">
                                  <w:pPr>
                                    <w:rPr>
                                      <w:rFonts w:ascii="Arial" w:hAnsi="Arial" w:cs="Arial"/>
                                      <w:sz w:val="20"/>
                                    </w:rPr>
                                  </w:pPr>
                                  <w:r w:rsidRPr="00733404">
                                    <w:rPr>
                                      <w:rFonts w:ascii="Arial" w:hAnsi="Arial" w:cs="Arial"/>
                                      <w:sz w:val="20"/>
                                    </w:rPr>
                                    <w:t>Harding Loevner Intl Eq CIT</w:t>
                                  </w:r>
                                </w:p>
                              </w:tc>
                              <w:tc>
                                <w:tcPr>
                                  <w:tcW w:w="1600" w:type="dxa"/>
                                  <w:tcBorders>
                                    <w:top w:val="nil"/>
                                    <w:left w:val="nil"/>
                                    <w:bottom w:val="nil"/>
                                    <w:right w:val="nil"/>
                                  </w:tcBorders>
                                  <w:shd w:val="clear" w:color="auto" w:fill="auto"/>
                                  <w:vAlign w:val="center"/>
                                  <w:hideMark/>
                                </w:tcPr>
                                <w:p w14:paraId="5C5BC2E5" w14:textId="77777777" w:rsidR="00D36D98" w:rsidRPr="00733404" w:rsidRDefault="00D36D98" w:rsidP="00D36D98">
                                  <w:pPr>
                                    <w:jc w:val="right"/>
                                    <w:rPr>
                                      <w:rFonts w:ascii="Arial" w:hAnsi="Arial" w:cs="Arial"/>
                                      <w:sz w:val="20"/>
                                    </w:rPr>
                                  </w:pPr>
                                  <w:r w:rsidRPr="00733404">
                                    <w:rPr>
                                      <w:rFonts w:ascii="Arial" w:hAnsi="Arial" w:cs="Arial"/>
                                      <w:sz w:val="20"/>
                                    </w:rPr>
                                    <w:t>$61,683,430.00</w:t>
                                  </w:r>
                                </w:p>
                              </w:tc>
                              <w:tc>
                                <w:tcPr>
                                  <w:tcW w:w="1160" w:type="dxa"/>
                                  <w:tcBorders>
                                    <w:top w:val="nil"/>
                                    <w:left w:val="nil"/>
                                    <w:bottom w:val="nil"/>
                                    <w:right w:val="nil"/>
                                  </w:tcBorders>
                                  <w:shd w:val="clear" w:color="auto" w:fill="auto"/>
                                  <w:hideMark/>
                                </w:tcPr>
                                <w:p w14:paraId="4750B298" w14:textId="77777777" w:rsidR="00D36D98" w:rsidRPr="00733404" w:rsidRDefault="00D36D98" w:rsidP="00D36D98">
                                  <w:pPr>
                                    <w:jc w:val="center"/>
                                    <w:rPr>
                                      <w:rFonts w:ascii="Arial" w:hAnsi="Arial" w:cs="Arial"/>
                                      <w:sz w:val="20"/>
                                    </w:rPr>
                                  </w:pPr>
                                  <w:r w:rsidRPr="00733404">
                                    <w:rPr>
                                      <w:rFonts w:ascii="Arial" w:hAnsi="Arial" w:cs="Arial"/>
                                      <w:sz w:val="20"/>
                                    </w:rPr>
                                    <w:t>12.21%</w:t>
                                  </w:r>
                                </w:p>
                              </w:tc>
                              <w:tc>
                                <w:tcPr>
                                  <w:tcW w:w="1160" w:type="dxa"/>
                                  <w:tcBorders>
                                    <w:top w:val="nil"/>
                                    <w:left w:val="nil"/>
                                    <w:bottom w:val="nil"/>
                                    <w:right w:val="nil"/>
                                  </w:tcBorders>
                                  <w:shd w:val="clear" w:color="auto" w:fill="auto"/>
                                  <w:noWrap/>
                                  <w:hideMark/>
                                </w:tcPr>
                                <w:p w14:paraId="7DE03E2B" w14:textId="77777777" w:rsidR="00D36D98" w:rsidRPr="00733404" w:rsidRDefault="00D36D98" w:rsidP="00D36D98">
                                  <w:pPr>
                                    <w:jc w:val="center"/>
                                    <w:rPr>
                                      <w:rFonts w:ascii="Arial" w:hAnsi="Arial" w:cs="Arial"/>
                                      <w:color w:val="000000"/>
                                      <w:sz w:val="20"/>
                                    </w:rPr>
                                  </w:pPr>
                                  <w:r w:rsidRPr="00733404">
                                    <w:rPr>
                                      <w:rFonts w:ascii="Arial" w:hAnsi="Arial" w:cs="Arial"/>
                                      <w:color w:val="000000"/>
                                      <w:sz w:val="20"/>
                                    </w:rPr>
                                    <w:t>8.55%</w:t>
                                  </w:r>
                                </w:p>
                              </w:tc>
                              <w:tc>
                                <w:tcPr>
                                  <w:tcW w:w="1160" w:type="dxa"/>
                                  <w:tcBorders>
                                    <w:top w:val="nil"/>
                                    <w:left w:val="nil"/>
                                    <w:bottom w:val="nil"/>
                                    <w:right w:val="nil"/>
                                  </w:tcBorders>
                                  <w:shd w:val="clear" w:color="auto" w:fill="auto"/>
                                  <w:noWrap/>
                                  <w:hideMark/>
                                </w:tcPr>
                                <w:p w14:paraId="1EBDE65E" w14:textId="77777777" w:rsidR="00D36D98" w:rsidRPr="00733404" w:rsidRDefault="00D36D98" w:rsidP="00D36D98">
                                  <w:pPr>
                                    <w:jc w:val="center"/>
                                    <w:rPr>
                                      <w:rFonts w:ascii="Arial" w:hAnsi="Arial" w:cs="Arial"/>
                                      <w:color w:val="000000"/>
                                      <w:sz w:val="20"/>
                                    </w:rPr>
                                  </w:pPr>
                                  <w:r w:rsidRPr="00733404">
                                    <w:rPr>
                                      <w:rFonts w:ascii="Arial" w:hAnsi="Arial" w:cs="Arial"/>
                                      <w:color w:val="000000"/>
                                      <w:sz w:val="20"/>
                                    </w:rPr>
                                    <w:t>18.02%</w:t>
                                  </w:r>
                                </w:p>
                              </w:tc>
                              <w:tc>
                                <w:tcPr>
                                  <w:tcW w:w="1160" w:type="dxa"/>
                                  <w:tcBorders>
                                    <w:top w:val="nil"/>
                                    <w:left w:val="nil"/>
                                    <w:bottom w:val="nil"/>
                                    <w:right w:val="nil"/>
                                  </w:tcBorders>
                                  <w:shd w:val="clear" w:color="auto" w:fill="auto"/>
                                  <w:hideMark/>
                                </w:tcPr>
                                <w:p w14:paraId="763B699B" w14:textId="77777777" w:rsidR="00D36D98" w:rsidRPr="00733404" w:rsidRDefault="00D36D98" w:rsidP="00D36D98">
                                  <w:pPr>
                                    <w:jc w:val="center"/>
                                    <w:rPr>
                                      <w:rFonts w:ascii="Arial" w:hAnsi="Arial" w:cs="Arial"/>
                                      <w:sz w:val="20"/>
                                    </w:rPr>
                                  </w:pPr>
                                  <w:r w:rsidRPr="00733404">
                                    <w:rPr>
                                      <w:rFonts w:ascii="Arial" w:hAnsi="Arial" w:cs="Arial"/>
                                      <w:sz w:val="20"/>
                                    </w:rPr>
                                    <w:t>-</w:t>
                                  </w:r>
                                </w:p>
                              </w:tc>
                            </w:tr>
                            <w:tr w:rsidR="00D36D98" w:rsidRPr="00E34F67" w14:paraId="7F2FAFB4" w14:textId="77777777" w:rsidTr="00D36D98">
                              <w:trPr>
                                <w:trHeight w:val="240"/>
                              </w:trPr>
                              <w:tc>
                                <w:tcPr>
                                  <w:tcW w:w="3220" w:type="dxa"/>
                                  <w:tcBorders>
                                    <w:top w:val="nil"/>
                                    <w:left w:val="nil"/>
                                    <w:bottom w:val="nil"/>
                                    <w:right w:val="nil"/>
                                  </w:tcBorders>
                                  <w:shd w:val="clear" w:color="auto" w:fill="auto"/>
                                  <w:vAlign w:val="center"/>
                                  <w:hideMark/>
                                </w:tcPr>
                                <w:p w14:paraId="5C80BF68" w14:textId="51782596" w:rsidR="00D36D98" w:rsidRPr="00733404" w:rsidRDefault="00D36D98" w:rsidP="00D36D98">
                                  <w:pPr>
                                    <w:rPr>
                                      <w:rFonts w:ascii="Arial" w:hAnsi="Arial" w:cs="Arial"/>
                                      <w:sz w:val="20"/>
                                    </w:rPr>
                                  </w:pPr>
                                  <w:r w:rsidRPr="00733404">
                                    <w:rPr>
                                      <w:rFonts w:ascii="Arial" w:hAnsi="Arial" w:cs="Arial"/>
                                      <w:sz w:val="20"/>
                                    </w:rPr>
                                    <w:t>SGA Intl Equity CIT</w:t>
                                  </w:r>
                                </w:p>
                              </w:tc>
                              <w:tc>
                                <w:tcPr>
                                  <w:tcW w:w="1600" w:type="dxa"/>
                                  <w:tcBorders>
                                    <w:top w:val="nil"/>
                                    <w:left w:val="nil"/>
                                    <w:bottom w:val="nil"/>
                                    <w:right w:val="nil"/>
                                  </w:tcBorders>
                                  <w:shd w:val="clear" w:color="auto" w:fill="auto"/>
                                  <w:vAlign w:val="center"/>
                                  <w:hideMark/>
                                </w:tcPr>
                                <w:p w14:paraId="523BE221" w14:textId="77777777" w:rsidR="00D36D98" w:rsidRPr="00733404" w:rsidRDefault="00D36D98" w:rsidP="00D36D98">
                                  <w:pPr>
                                    <w:jc w:val="right"/>
                                    <w:rPr>
                                      <w:rFonts w:ascii="Arial" w:hAnsi="Arial" w:cs="Arial"/>
                                      <w:sz w:val="20"/>
                                    </w:rPr>
                                  </w:pPr>
                                  <w:r w:rsidRPr="00733404">
                                    <w:rPr>
                                      <w:rFonts w:ascii="Arial" w:hAnsi="Arial" w:cs="Arial"/>
                                      <w:sz w:val="20"/>
                                    </w:rPr>
                                    <w:t>$63,278,558.00</w:t>
                                  </w:r>
                                </w:p>
                              </w:tc>
                              <w:tc>
                                <w:tcPr>
                                  <w:tcW w:w="1160" w:type="dxa"/>
                                  <w:tcBorders>
                                    <w:top w:val="nil"/>
                                    <w:left w:val="nil"/>
                                    <w:bottom w:val="nil"/>
                                    <w:right w:val="nil"/>
                                  </w:tcBorders>
                                  <w:shd w:val="clear" w:color="auto" w:fill="auto"/>
                                  <w:noWrap/>
                                  <w:vAlign w:val="center"/>
                                  <w:hideMark/>
                                </w:tcPr>
                                <w:p w14:paraId="5E5EF4A9" w14:textId="77777777" w:rsidR="00D36D98" w:rsidRPr="00733404" w:rsidRDefault="00D36D98" w:rsidP="00D36D98">
                                  <w:pPr>
                                    <w:jc w:val="center"/>
                                    <w:rPr>
                                      <w:rFonts w:ascii="Arial" w:hAnsi="Arial" w:cs="Arial"/>
                                      <w:color w:val="000000"/>
                                      <w:sz w:val="20"/>
                                    </w:rPr>
                                  </w:pPr>
                                  <w:r w:rsidRPr="00733404">
                                    <w:rPr>
                                      <w:rFonts w:ascii="Arial" w:hAnsi="Arial" w:cs="Arial"/>
                                      <w:color w:val="000000"/>
                                      <w:sz w:val="20"/>
                                    </w:rPr>
                                    <w:t>12.53%</w:t>
                                  </w:r>
                                </w:p>
                              </w:tc>
                              <w:tc>
                                <w:tcPr>
                                  <w:tcW w:w="1160" w:type="dxa"/>
                                  <w:tcBorders>
                                    <w:top w:val="nil"/>
                                    <w:left w:val="nil"/>
                                    <w:bottom w:val="nil"/>
                                    <w:right w:val="nil"/>
                                  </w:tcBorders>
                                  <w:shd w:val="clear" w:color="auto" w:fill="auto"/>
                                  <w:noWrap/>
                                  <w:vAlign w:val="center"/>
                                  <w:hideMark/>
                                </w:tcPr>
                                <w:p w14:paraId="7BDCEE14" w14:textId="77777777" w:rsidR="00D36D98" w:rsidRPr="00733404" w:rsidRDefault="00D36D98" w:rsidP="00D36D98">
                                  <w:pPr>
                                    <w:jc w:val="center"/>
                                    <w:rPr>
                                      <w:rFonts w:ascii="Arial" w:hAnsi="Arial" w:cs="Arial"/>
                                      <w:color w:val="000000"/>
                                      <w:sz w:val="20"/>
                                    </w:rPr>
                                  </w:pPr>
                                  <w:r w:rsidRPr="00733404">
                                    <w:rPr>
                                      <w:rFonts w:ascii="Arial" w:hAnsi="Arial" w:cs="Arial"/>
                                      <w:color w:val="000000"/>
                                      <w:sz w:val="20"/>
                                    </w:rPr>
                                    <w:t>12.85%</w:t>
                                  </w:r>
                                </w:p>
                              </w:tc>
                              <w:tc>
                                <w:tcPr>
                                  <w:tcW w:w="1160" w:type="dxa"/>
                                  <w:tcBorders>
                                    <w:top w:val="nil"/>
                                    <w:left w:val="nil"/>
                                    <w:bottom w:val="nil"/>
                                    <w:right w:val="nil"/>
                                  </w:tcBorders>
                                  <w:shd w:val="clear" w:color="auto" w:fill="auto"/>
                                  <w:noWrap/>
                                  <w:vAlign w:val="center"/>
                                  <w:hideMark/>
                                </w:tcPr>
                                <w:p w14:paraId="65A66AAD" w14:textId="77777777" w:rsidR="00D36D98" w:rsidRPr="00733404" w:rsidRDefault="00D36D98" w:rsidP="00D36D98">
                                  <w:pPr>
                                    <w:jc w:val="center"/>
                                    <w:rPr>
                                      <w:rFonts w:ascii="Arial" w:hAnsi="Arial" w:cs="Arial"/>
                                      <w:color w:val="000000"/>
                                      <w:sz w:val="20"/>
                                    </w:rPr>
                                  </w:pPr>
                                  <w:r w:rsidRPr="00733404">
                                    <w:rPr>
                                      <w:rFonts w:ascii="Arial" w:hAnsi="Arial" w:cs="Arial"/>
                                      <w:color w:val="000000"/>
                                      <w:sz w:val="20"/>
                                    </w:rPr>
                                    <w:t>12.23%</w:t>
                                  </w:r>
                                </w:p>
                              </w:tc>
                              <w:tc>
                                <w:tcPr>
                                  <w:tcW w:w="1160" w:type="dxa"/>
                                  <w:tcBorders>
                                    <w:top w:val="nil"/>
                                    <w:left w:val="nil"/>
                                    <w:bottom w:val="nil"/>
                                    <w:right w:val="nil"/>
                                  </w:tcBorders>
                                  <w:shd w:val="clear" w:color="auto" w:fill="auto"/>
                                  <w:vAlign w:val="center"/>
                                  <w:hideMark/>
                                </w:tcPr>
                                <w:p w14:paraId="3C5760F7" w14:textId="77777777" w:rsidR="00D36D98" w:rsidRPr="00733404" w:rsidRDefault="00D36D98" w:rsidP="00D36D98">
                                  <w:pPr>
                                    <w:jc w:val="center"/>
                                    <w:rPr>
                                      <w:rFonts w:ascii="Arial" w:hAnsi="Arial" w:cs="Arial"/>
                                      <w:sz w:val="20"/>
                                    </w:rPr>
                                  </w:pPr>
                                  <w:r w:rsidRPr="00733404">
                                    <w:rPr>
                                      <w:rFonts w:ascii="Arial" w:hAnsi="Arial" w:cs="Arial"/>
                                      <w:sz w:val="20"/>
                                    </w:rPr>
                                    <w:t>-</w:t>
                                  </w:r>
                                </w:p>
                              </w:tc>
                            </w:tr>
                            <w:tr w:rsidR="00D36D98" w:rsidRPr="00E34F67" w14:paraId="3972D442" w14:textId="77777777" w:rsidTr="00D36D98">
                              <w:trPr>
                                <w:trHeight w:val="240"/>
                              </w:trPr>
                              <w:tc>
                                <w:tcPr>
                                  <w:tcW w:w="3220" w:type="dxa"/>
                                  <w:tcBorders>
                                    <w:top w:val="nil"/>
                                    <w:left w:val="nil"/>
                                    <w:bottom w:val="nil"/>
                                    <w:right w:val="nil"/>
                                  </w:tcBorders>
                                  <w:shd w:val="clear" w:color="auto" w:fill="auto"/>
                                  <w:vAlign w:val="center"/>
                                  <w:hideMark/>
                                </w:tcPr>
                                <w:p w14:paraId="637493A2" w14:textId="77777777" w:rsidR="00D36D98" w:rsidRPr="00733404" w:rsidRDefault="00D36D98" w:rsidP="00D36D98">
                                  <w:pPr>
                                    <w:rPr>
                                      <w:rFonts w:ascii="Arial" w:hAnsi="Arial" w:cs="Arial"/>
                                      <w:b/>
                                      <w:bCs/>
                                      <w:sz w:val="20"/>
                                    </w:rPr>
                                  </w:pPr>
                                  <w:r w:rsidRPr="00733404">
                                    <w:rPr>
                                      <w:rFonts w:ascii="Arial" w:hAnsi="Arial" w:cs="Arial"/>
                                      <w:b/>
                                      <w:bCs/>
                                      <w:sz w:val="20"/>
                                    </w:rPr>
                                    <w:t>Domestic Fixed Income</w:t>
                                  </w:r>
                                </w:p>
                              </w:tc>
                              <w:tc>
                                <w:tcPr>
                                  <w:tcW w:w="1600" w:type="dxa"/>
                                  <w:tcBorders>
                                    <w:top w:val="nil"/>
                                    <w:left w:val="nil"/>
                                    <w:bottom w:val="nil"/>
                                    <w:right w:val="nil"/>
                                  </w:tcBorders>
                                  <w:shd w:val="clear" w:color="auto" w:fill="auto"/>
                                  <w:vAlign w:val="center"/>
                                  <w:hideMark/>
                                </w:tcPr>
                                <w:p w14:paraId="0A50A8D0" w14:textId="77777777" w:rsidR="00D36D98" w:rsidRPr="00733404" w:rsidRDefault="00D36D98" w:rsidP="00D36D98">
                                  <w:pPr>
                                    <w:jc w:val="right"/>
                                    <w:rPr>
                                      <w:rFonts w:ascii="Arial" w:hAnsi="Arial" w:cs="Arial"/>
                                      <w:b/>
                                      <w:bCs/>
                                      <w:sz w:val="20"/>
                                    </w:rPr>
                                  </w:pPr>
                                  <w:r w:rsidRPr="00733404">
                                    <w:rPr>
                                      <w:rFonts w:ascii="Arial" w:hAnsi="Arial" w:cs="Arial"/>
                                      <w:b/>
                                      <w:bCs/>
                                      <w:sz w:val="20"/>
                                    </w:rPr>
                                    <w:t>$118,982,395.00</w:t>
                                  </w:r>
                                </w:p>
                              </w:tc>
                              <w:tc>
                                <w:tcPr>
                                  <w:tcW w:w="1160" w:type="dxa"/>
                                  <w:tcBorders>
                                    <w:top w:val="nil"/>
                                    <w:left w:val="nil"/>
                                    <w:bottom w:val="nil"/>
                                    <w:right w:val="nil"/>
                                  </w:tcBorders>
                                  <w:shd w:val="clear" w:color="auto" w:fill="auto"/>
                                  <w:vAlign w:val="center"/>
                                  <w:hideMark/>
                                </w:tcPr>
                                <w:p w14:paraId="5368E9CF" w14:textId="77777777" w:rsidR="00D36D98" w:rsidRPr="00733404" w:rsidRDefault="00D36D98" w:rsidP="00D36D98">
                                  <w:pPr>
                                    <w:jc w:val="center"/>
                                    <w:rPr>
                                      <w:rFonts w:ascii="Arial" w:hAnsi="Arial" w:cs="Arial"/>
                                      <w:b/>
                                      <w:bCs/>
                                      <w:sz w:val="20"/>
                                    </w:rPr>
                                  </w:pPr>
                                  <w:r w:rsidRPr="00733404">
                                    <w:rPr>
                                      <w:rFonts w:ascii="Arial" w:hAnsi="Arial" w:cs="Arial"/>
                                      <w:b/>
                                      <w:bCs/>
                                      <w:sz w:val="20"/>
                                    </w:rPr>
                                    <w:t>23.56%</w:t>
                                  </w:r>
                                </w:p>
                              </w:tc>
                              <w:tc>
                                <w:tcPr>
                                  <w:tcW w:w="1160" w:type="dxa"/>
                                  <w:tcBorders>
                                    <w:top w:val="nil"/>
                                    <w:left w:val="nil"/>
                                    <w:bottom w:val="nil"/>
                                    <w:right w:val="nil"/>
                                  </w:tcBorders>
                                  <w:shd w:val="clear" w:color="auto" w:fill="auto"/>
                                  <w:vAlign w:val="center"/>
                                  <w:hideMark/>
                                </w:tcPr>
                                <w:p w14:paraId="7ADE9784" w14:textId="77777777" w:rsidR="00D36D98" w:rsidRPr="00733404" w:rsidRDefault="00D36D98" w:rsidP="00D36D98">
                                  <w:pPr>
                                    <w:jc w:val="center"/>
                                    <w:rPr>
                                      <w:rFonts w:ascii="Arial" w:hAnsi="Arial" w:cs="Arial"/>
                                      <w:b/>
                                      <w:bCs/>
                                      <w:color w:val="000000"/>
                                      <w:sz w:val="20"/>
                                    </w:rPr>
                                  </w:pPr>
                                  <w:r w:rsidRPr="00733404">
                                    <w:rPr>
                                      <w:rFonts w:ascii="Arial" w:hAnsi="Arial" w:cs="Arial"/>
                                      <w:b/>
                                      <w:bCs/>
                                      <w:color w:val="000000"/>
                                      <w:sz w:val="20"/>
                                    </w:rPr>
                                    <w:t>-0.88%</w:t>
                                  </w:r>
                                </w:p>
                              </w:tc>
                              <w:tc>
                                <w:tcPr>
                                  <w:tcW w:w="1160" w:type="dxa"/>
                                  <w:tcBorders>
                                    <w:top w:val="nil"/>
                                    <w:left w:val="nil"/>
                                    <w:bottom w:val="nil"/>
                                    <w:right w:val="nil"/>
                                  </w:tcBorders>
                                  <w:shd w:val="clear" w:color="auto" w:fill="auto"/>
                                  <w:noWrap/>
                                  <w:vAlign w:val="center"/>
                                  <w:hideMark/>
                                </w:tcPr>
                                <w:p w14:paraId="4867A3AE" w14:textId="77777777" w:rsidR="00D36D98" w:rsidRPr="00733404" w:rsidRDefault="00D36D98" w:rsidP="00D36D98">
                                  <w:pPr>
                                    <w:jc w:val="center"/>
                                    <w:rPr>
                                      <w:rFonts w:ascii="Arial" w:hAnsi="Arial" w:cs="Arial"/>
                                      <w:b/>
                                      <w:bCs/>
                                      <w:color w:val="000000"/>
                                      <w:sz w:val="20"/>
                                    </w:rPr>
                                  </w:pPr>
                                  <w:r w:rsidRPr="00733404">
                                    <w:rPr>
                                      <w:rFonts w:ascii="Arial" w:hAnsi="Arial" w:cs="Arial"/>
                                      <w:b/>
                                      <w:bCs/>
                                      <w:color w:val="000000"/>
                                      <w:sz w:val="20"/>
                                    </w:rPr>
                                    <w:t>4.58%</w:t>
                                  </w:r>
                                </w:p>
                              </w:tc>
                              <w:tc>
                                <w:tcPr>
                                  <w:tcW w:w="1160" w:type="dxa"/>
                                  <w:tcBorders>
                                    <w:top w:val="nil"/>
                                    <w:left w:val="nil"/>
                                    <w:bottom w:val="nil"/>
                                    <w:right w:val="nil"/>
                                  </w:tcBorders>
                                  <w:shd w:val="clear" w:color="auto" w:fill="auto"/>
                                  <w:noWrap/>
                                  <w:vAlign w:val="center"/>
                                  <w:hideMark/>
                                </w:tcPr>
                                <w:p w14:paraId="4AFF2673" w14:textId="77777777" w:rsidR="00D36D98" w:rsidRPr="00733404" w:rsidRDefault="00D36D98" w:rsidP="00D36D98">
                                  <w:pPr>
                                    <w:jc w:val="center"/>
                                    <w:rPr>
                                      <w:rFonts w:ascii="Arial" w:hAnsi="Arial" w:cs="Arial"/>
                                      <w:b/>
                                      <w:bCs/>
                                      <w:color w:val="000000"/>
                                      <w:sz w:val="20"/>
                                    </w:rPr>
                                  </w:pPr>
                                  <w:r w:rsidRPr="00733404">
                                    <w:rPr>
                                      <w:rFonts w:ascii="Arial" w:hAnsi="Arial" w:cs="Arial"/>
                                      <w:b/>
                                      <w:bCs/>
                                      <w:color w:val="000000"/>
                                      <w:sz w:val="20"/>
                                    </w:rPr>
                                    <w:t>3.43%</w:t>
                                  </w:r>
                                </w:p>
                              </w:tc>
                            </w:tr>
                            <w:tr w:rsidR="00D36D98" w:rsidRPr="00E34F67" w14:paraId="060D2222" w14:textId="77777777" w:rsidTr="00D36D98">
                              <w:trPr>
                                <w:trHeight w:val="240"/>
                              </w:trPr>
                              <w:tc>
                                <w:tcPr>
                                  <w:tcW w:w="3220" w:type="dxa"/>
                                  <w:tcBorders>
                                    <w:top w:val="nil"/>
                                    <w:left w:val="nil"/>
                                    <w:bottom w:val="nil"/>
                                    <w:right w:val="nil"/>
                                  </w:tcBorders>
                                  <w:shd w:val="clear" w:color="auto" w:fill="auto"/>
                                  <w:vAlign w:val="center"/>
                                  <w:hideMark/>
                                </w:tcPr>
                                <w:p w14:paraId="0545B096" w14:textId="77777777" w:rsidR="00D36D98" w:rsidRPr="00733404" w:rsidRDefault="00D36D98" w:rsidP="00D36D98">
                                  <w:pPr>
                                    <w:rPr>
                                      <w:rFonts w:ascii="Arial" w:hAnsi="Arial" w:cs="Arial"/>
                                      <w:sz w:val="20"/>
                                    </w:rPr>
                                  </w:pPr>
                                  <w:r w:rsidRPr="00733404">
                                    <w:rPr>
                                      <w:rFonts w:ascii="Arial" w:hAnsi="Arial" w:cs="Arial"/>
                                      <w:sz w:val="20"/>
                                    </w:rPr>
                                    <w:t>Loomis, Sayles &amp; Company</w:t>
                                  </w:r>
                                </w:p>
                              </w:tc>
                              <w:tc>
                                <w:tcPr>
                                  <w:tcW w:w="1600" w:type="dxa"/>
                                  <w:tcBorders>
                                    <w:top w:val="nil"/>
                                    <w:left w:val="nil"/>
                                    <w:bottom w:val="nil"/>
                                    <w:right w:val="nil"/>
                                  </w:tcBorders>
                                  <w:shd w:val="clear" w:color="auto" w:fill="auto"/>
                                  <w:noWrap/>
                                  <w:vAlign w:val="center"/>
                                  <w:hideMark/>
                                </w:tcPr>
                                <w:p w14:paraId="5D941E57" w14:textId="77777777" w:rsidR="00D36D98" w:rsidRPr="00733404" w:rsidRDefault="00D36D98" w:rsidP="00D36D98">
                                  <w:pPr>
                                    <w:jc w:val="right"/>
                                    <w:rPr>
                                      <w:rFonts w:ascii="Arial" w:hAnsi="Arial" w:cs="Arial"/>
                                      <w:color w:val="000000"/>
                                      <w:sz w:val="20"/>
                                    </w:rPr>
                                  </w:pPr>
                                  <w:r w:rsidRPr="00733404">
                                    <w:rPr>
                                      <w:rFonts w:ascii="Arial" w:hAnsi="Arial" w:cs="Arial"/>
                                      <w:color w:val="000000"/>
                                      <w:sz w:val="20"/>
                                    </w:rPr>
                                    <w:t>$59,397,751.00</w:t>
                                  </w:r>
                                </w:p>
                              </w:tc>
                              <w:tc>
                                <w:tcPr>
                                  <w:tcW w:w="1160" w:type="dxa"/>
                                  <w:tcBorders>
                                    <w:top w:val="nil"/>
                                    <w:left w:val="nil"/>
                                    <w:bottom w:val="nil"/>
                                    <w:right w:val="nil"/>
                                  </w:tcBorders>
                                  <w:shd w:val="clear" w:color="auto" w:fill="auto"/>
                                  <w:noWrap/>
                                  <w:vAlign w:val="center"/>
                                  <w:hideMark/>
                                </w:tcPr>
                                <w:p w14:paraId="165CE41F" w14:textId="77777777" w:rsidR="00D36D98" w:rsidRPr="00733404" w:rsidRDefault="00D36D98" w:rsidP="00D36D98">
                                  <w:pPr>
                                    <w:jc w:val="center"/>
                                    <w:rPr>
                                      <w:rFonts w:ascii="Arial" w:hAnsi="Arial" w:cs="Arial"/>
                                      <w:color w:val="000000"/>
                                      <w:sz w:val="20"/>
                                    </w:rPr>
                                  </w:pPr>
                                  <w:r w:rsidRPr="00733404">
                                    <w:rPr>
                                      <w:rFonts w:ascii="Arial" w:hAnsi="Arial" w:cs="Arial"/>
                                      <w:color w:val="000000"/>
                                      <w:sz w:val="20"/>
                                    </w:rPr>
                                    <w:t>11.76%</w:t>
                                  </w:r>
                                </w:p>
                              </w:tc>
                              <w:tc>
                                <w:tcPr>
                                  <w:tcW w:w="1160" w:type="dxa"/>
                                  <w:tcBorders>
                                    <w:top w:val="nil"/>
                                    <w:left w:val="nil"/>
                                    <w:bottom w:val="nil"/>
                                    <w:right w:val="nil"/>
                                  </w:tcBorders>
                                  <w:shd w:val="clear" w:color="auto" w:fill="auto"/>
                                  <w:vAlign w:val="center"/>
                                  <w:hideMark/>
                                </w:tcPr>
                                <w:p w14:paraId="04A83E0D" w14:textId="77777777" w:rsidR="00D36D98" w:rsidRPr="00733404" w:rsidRDefault="00D36D98" w:rsidP="00D36D98">
                                  <w:pPr>
                                    <w:jc w:val="center"/>
                                    <w:rPr>
                                      <w:rFonts w:ascii="Arial" w:hAnsi="Arial" w:cs="Arial"/>
                                      <w:color w:val="000000"/>
                                      <w:sz w:val="20"/>
                                    </w:rPr>
                                  </w:pPr>
                                  <w:r w:rsidRPr="00733404">
                                    <w:rPr>
                                      <w:rFonts w:ascii="Arial" w:hAnsi="Arial" w:cs="Arial"/>
                                      <w:color w:val="000000"/>
                                      <w:sz w:val="20"/>
                                    </w:rPr>
                                    <w:t>-1.11%</w:t>
                                  </w:r>
                                </w:p>
                              </w:tc>
                              <w:tc>
                                <w:tcPr>
                                  <w:tcW w:w="1160" w:type="dxa"/>
                                  <w:tcBorders>
                                    <w:top w:val="nil"/>
                                    <w:left w:val="nil"/>
                                    <w:bottom w:val="nil"/>
                                    <w:right w:val="nil"/>
                                  </w:tcBorders>
                                  <w:shd w:val="clear" w:color="auto" w:fill="auto"/>
                                  <w:hideMark/>
                                </w:tcPr>
                                <w:p w14:paraId="45612275" w14:textId="77777777" w:rsidR="00D36D98" w:rsidRPr="00733404" w:rsidRDefault="00D36D98" w:rsidP="00D36D98">
                                  <w:pPr>
                                    <w:jc w:val="center"/>
                                    <w:rPr>
                                      <w:rFonts w:ascii="Arial" w:hAnsi="Arial" w:cs="Arial"/>
                                      <w:sz w:val="20"/>
                                    </w:rPr>
                                  </w:pPr>
                                  <w:r w:rsidRPr="00733404">
                                    <w:rPr>
                                      <w:rFonts w:ascii="Arial" w:hAnsi="Arial" w:cs="Arial"/>
                                      <w:sz w:val="20"/>
                                    </w:rPr>
                                    <w:t>-</w:t>
                                  </w:r>
                                </w:p>
                              </w:tc>
                              <w:tc>
                                <w:tcPr>
                                  <w:tcW w:w="1160" w:type="dxa"/>
                                  <w:tcBorders>
                                    <w:top w:val="nil"/>
                                    <w:left w:val="nil"/>
                                    <w:bottom w:val="nil"/>
                                    <w:right w:val="nil"/>
                                  </w:tcBorders>
                                  <w:shd w:val="clear" w:color="auto" w:fill="auto"/>
                                  <w:hideMark/>
                                </w:tcPr>
                                <w:p w14:paraId="3A73C303" w14:textId="77777777" w:rsidR="00D36D98" w:rsidRPr="00733404" w:rsidRDefault="00D36D98" w:rsidP="00D36D98">
                                  <w:pPr>
                                    <w:jc w:val="center"/>
                                    <w:rPr>
                                      <w:rFonts w:ascii="Arial" w:hAnsi="Arial" w:cs="Arial"/>
                                      <w:sz w:val="20"/>
                                    </w:rPr>
                                  </w:pPr>
                                  <w:r w:rsidRPr="00733404">
                                    <w:rPr>
                                      <w:rFonts w:ascii="Arial" w:hAnsi="Arial" w:cs="Arial"/>
                                      <w:sz w:val="20"/>
                                    </w:rPr>
                                    <w:t>-</w:t>
                                  </w:r>
                                </w:p>
                              </w:tc>
                            </w:tr>
                            <w:tr w:rsidR="00D36D98" w:rsidRPr="00E34F67" w14:paraId="72A26A29" w14:textId="77777777" w:rsidTr="00D36D98">
                              <w:trPr>
                                <w:trHeight w:val="240"/>
                              </w:trPr>
                              <w:tc>
                                <w:tcPr>
                                  <w:tcW w:w="3220" w:type="dxa"/>
                                  <w:tcBorders>
                                    <w:top w:val="nil"/>
                                    <w:left w:val="nil"/>
                                    <w:bottom w:val="nil"/>
                                    <w:right w:val="nil"/>
                                  </w:tcBorders>
                                  <w:shd w:val="clear" w:color="auto" w:fill="auto"/>
                                  <w:hideMark/>
                                </w:tcPr>
                                <w:p w14:paraId="40E3363D" w14:textId="77777777" w:rsidR="00D36D98" w:rsidRPr="00733404" w:rsidRDefault="00D36D98" w:rsidP="00D36D98">
                                  <w:pPr>
                                    <w:rPr>
                                      <w:rFonts w:ascii="Arial" w:hAnsi="Arial" w:cs="Arial"/>
                                      <w:sz w:val="20"/>
                                    </w:rPr>
                                  </w:pPr>
                                  <w:r w:rsidRPr="00733404">
                                    <w:rPr>
                                      <w:rFonts w:ascii="Arial" w:hAnsi="Arial" w:cs="Arial"/>
                                      <w:sz w:val="20"/>
                                    </w:rPr>
                                    <w:t>Voya Investment Mgmt.</w:t>
                                  </w:r>
                                </w:p>
                              </w:tc>
                              <w:tc>
                                <w:tcPr>
                                  <w:tcW w:w="1600" w:type="dxa"/>
                                  <w:tcBorders>
                                    <w:top w:val="nil"/>
                                    <w:left w:val="nil"/>
                                    <w:bottom w:val="nil"/>
                                    <w:right w:val="nil"/>
                                  </w:tcBorders>
                                  <w:shd w:val="clear" w:color="auto" w:fill="auto"/>
                                  <w:noWrap/>
                                  <w:vAlign w:val="center"/>
                                  <w:hideMark/>
                                </w:tcPr>
                                <w:p w14:paraId="67A48B5D" w14:textId="77777777" w:rsidR="00D36D98" w:rsidRPr="00733404" w:rsidRDefault="00D36D98" w:rsidP="00D36D98">
                                  <w:pPr>
                                    <w:jc w:val="right"/>
                                    <w:rPr>
                                      <w:rFonts w:ascii="Arial" w:hAnsi="Arial" w:cs="Arial"/>
                                      <w:color w:val="000000"/>
                                      <w:sz w:val="20"/>
                                    </w:rPr>
                                  </w:pPr>
                                  <w:r w:rsidRPr="00733404">
                                    <w:rPr>
                                      <w:rFonts w:ascii="Arial" w:hAnsi="Arial" w:cs="Arial"/>
                                      <w:color w:val="000000"/>
                                      <w:sz w:val="20"/>
                                    </w:rPr>
                                    <w:t>$59,584,638.00</w:t>
                                  </w:r>
                                </w:p>
                              </w:tc>
                              <w:tc>
                                <w:tcPr>
                                  <w:tcW w:w="1160" w:type="dxa"/>
                                  <w:tcBorders>
                                    <w:top w:val="nil"/>
                                    <w:left w:val="nil"/>
                                    <w:bottom w:val="nil"/>
                                    <w:right w:val="nil"/>
                                  </w:tcBorders>
                                  <w:shd w:val="clear" w:color="auto" w:fill="auto"/>
                                  <w:noWrap/>
                                  <w:hideMark/>
                                </w:tcPr>
                                <w:p w14:paraId="2E835A62" w14:textId="77777777" w:rsidR="00D36D98" w:rsidRPr="00733404" w:rsidRDefault="00D36D98" w:rsidP="00D36D98">
                                  <w:pPr>
                                    <w:jc w:val="center"/>
                                    <w:rPr>
                                      <w:rFonts w:ascii="Arial" w:hAnsi="Arial" w:cs="Arial"/>
                                      <w:color w:val="000000"/>
                                      <w:sz w:val="20"/>
                                    </w:rPr>
                                  </w:pPr>
                                  <w:r w:rsidRPr="00733404">
                                    <w:rPr>
                                      <w:rFonts w:ascii="Arial" w:hAnsi="Arial" w:cs="Arial"/>
                                      <w:color w:val="000000"/>
                                      <w:sz w:val="20"/>
                                    </w:rPr>
                                    <w:t>11.80%</w:t>
                                  </w:r>
                                </w:p>
                              </w:tc>
                              <w:tc>
                                <w:tcPr>
                                  <w:tcW w:w="1160" w:type="dxa"/>
                                  <w:tcBorders>
                                    <w:top w:val="nil"/>
                                    <w:left w:val="nil"/>
                                    <w:bottom w:val="nil"/>
                                    <w:right w:val="nil"/>
                                  </w:tcBorders>
                                  <w:shd w:val="clear" w:color="auto" w:fill="auto"/>
                                  <w:hideMark/>
                                </w:tcPr>
                                <w:p w14:paraId="002F3527" w14:textId="77777777" w:rsidR="00D36D98" w:rsidRPr="00733404" w:rsidRDefault="00D36D98" w:rsidP="00D36D98">
                                  <w:pPr>
                                    <w:jc w:val="center"/>
                                    <w:rPr>
                                      <w:rFonts w:ascii="Arial" w:hAnsi="Arial" w:cs="Arial"/>
                                      <w:color w:val="000000"/>
                                      <w:sz w:val="20"/>
                                    </w:rPr>
                                  </w:pPr>
                                  <w:r w:rsidRPr="00733404">
                                    <w:rPr>
                                      <w:rFonts w:ascii="Arial" w:hAnsi="Arial" w:cs="Arial"/>
                                      <w:color w:val="000000"/>
                                      <w:sz w:val="20"/>
                                    </w:rPr>
                                    <w:t>-0.65%</w:t>
                                  </w:r>
                                </w:p>
                              </w:tc>
                              <w:tc>
                                <w:tcPr>
                                  <w:tcW w:w="1160" w:type="dxa"/>
                                  <w:tcBorders>
                                    <w:top w:val="nil"/>
                                    <w:left w:val="nil"/>
                                    <w:bottom w:val="nil"/>
                                    <w:right w:val="nil"/>
                                  </w:tcBorders>
                                  <w:shd w:val="clear" w:color="auto" w:fill="auto"/>
                                  <w:hideMark/>
                                </w:tcPr>
                                <w:p w14:paraId="2E16BA96" w14:textId="77777777" w:rsidR="00D36D98" w:rsidRPr="00733404" w:rsidRDefault="00D36D98" w:rsidP="00D36D98">
                                  <w:pPr>
                                    <w:jc w:val="center"/>
                                    <w:rPr>
                                      <w:rFonts w:ascii="Arial" w:hAnsi="Arial" w:cs="Arial"/>
                                      <w:sz w:val="20"/>
                                    </w:rPr>
                                  </w:pPr>
                                  <w:r w:rsidRPr="00733404">
                                    <w:rPr>
                                      <w:rFonts w:ascii="Arial" w:hAnsi="Arial" w:cs="Arial"/>
                                      <w:sz w:val="20"/>
                                    </w:rPr>
                                    <w:t>-</w:t>
                                  </w:r>
                                </w:p>
                              </w:tc>
                              <w:tc>
                                <w:tcPr>
                                  <w:tcW w:w="1160" w:type="dxa"/>
                                  <w:tcBorders>
                                    <w:top w:val="nil"/>
                                    <w:left w:val="nil"/>
                                    <w:bottom w:val="nil"/>
                                    <w:right w:val="nil"/>
                                  </w:tcBorders>
                                  <w:shd w:val="clear" w:color="auto" w:fill="auto"/>
                                  <w:hideMark/>
                                </w:tcPr>
                                <w:p w14:paraId="3900E6C8" w14:textId="77777777" w:rsidR="00D36D98" w:rsidRPr="00733404" w:rsidRDefault="00D36D98" w:rsidP="00D36D98">
                                  <w:pPr>
                                    <w:jc w:val="center"/>
                                    <w:rPr>
                                      <w:rFonts w:ascii="Arial" w:hAnsi="Arial" w:cs="Arial"/>
                                      <w:sz w:val="20"/>
                                    </w:rPr>
                                  </w:pPr>
                                  <w:r w:rsidRPr="00733404">
                                    <w:rPr>
                                      <w:rFonts w:ascii="Arial" w:hAnsi="Arial" w:cs="Arial"/>
                                      <w:sz w:val="20"/>
                                    </w:rPr>
                                    <w:t>-</w:t>
                                  </w:r>
                                </w:p>
                              </w:tc>
                            </w:tr>
                            <w:tr w:rsidR="00D36D98" w:rsidRPr="00E34F67" w14:paraId="0ED5AED0" w14:textId="77777777" w:rsidTr="00D36D98">
                              <w:trPr>
                                <w:trHeight w:val="240"/>
                              </w:trPr>
                              <w:tc>
                                <w:tcPr>
                                  <w:tcW w:w="3220" w:type="dxa"/>
                                  <w:tcBorders>
                                    <w:top w:val="nil"/>
                                    <w:left w:val="nil"/>
                                    <w:bottom w:val="nil"/>
                                    <w:right w:val="nil"/>
                                  </w:tcBorders>
                                  <w:shd w:val="clear" w:color="auto" w:fill="auto"/>
                                  <w:hideMark/>
                                </w:tcPr>
                                <w:p w14:paraId="5BCF8920" w14:textId="77777777" w:rsidR="00D36D98" w:rsidRPr="00733404" w:rsidRDefault="00D36D98" w:rsidP="00D36D98">
                                  <w:pPr>
                                    <w:rPr>
                                      <w:rFonts w:ascii="Arial" w:hAnsi="Arial" w:cs="Arial"/>
                                      <w:b/>
                                      <w:bCs/>
                                      <w:sz w:val="20"/>
                                    </w:rPr>
                                  </w:pPr>
                                  <w:r w:rsidRPr="00733404">
                                    <w:rPr>
                                      <w:rFonts w:ascii="Arial" w:hAnsi="Arial" w:cs="Arial"/>
                                      <w:b/>
                                      <w:bCs/>
                                      <w:sz w:val="20"/>
                                    </w:rPr>
                                    <w:t>Convertibles</w:t>
                                  </w:r>
                                </w:p>
                              </w:tc>
                              <w:tc>
                                <w:tcPr>
                                  <w:tcW w:w="1600" w:type="dxa"/>
                                  <w:tcBorders>
                                    <w:top w:val="nil"/>
                                    <w:left w:val="nil"/>
                                    <w:bottom w:val="nil"/>
                                    <w:right w:val="nil"/>
                                  </w:tcBorders>
                                  <w:shd w:val="clear" w:color="auto" w:fill="auto"/>
                                  <w:noWrap/>
                                  <w:vAlign w:val="center"/>
                                  <w:hideMark/>
                                </w:tcPr>
                                <w:p w14:paraId="43CC6F8F" w14:textId="77777777" w:rsidR="00D36D98" w:rsidRPr="00733404" w:rsidRDefault="00D36D98" w:rsidP="00D36D98">
                                  <w:pPr>
                                    <w:jc w:val="right"/>
                                    <w:rPr>
                                      <w:rFonts w:ascii="Arial" w:hAnsi="Arial" w:cs="Arial"/>
                                      <w:b/>
                                      <w:bCs/>
                                      <w:color w:val="000000"/>
                                      <w:sz w:val="20"/>
                                    </w:rPr>
                                  </w:pPr>
                                  <w:r w:rsidRPr="00733404">
                                    <w:rPr>
                                      <w:rFonts w:ascii="Arial" w:hAnsi="Arial" w:cs="Arial"/>
                                      <w:b/>
                                      <w:bCs/>
                                      <w:color w:val="000000"/>
                                      <w:sz w:val="20"/>
                                    </w:rPr>
                                    <w:t>$26,344,689.00</w:t>
                                  </w:r>
                                </w:p>
                              </w:tc>
                              <w:tc>
                                <w:tcPr>
                                  <w:tcW w:w="1160" w:type="dxa"/>
                                  <w:tcBorders>
                                    <w:top w:val="nil"/>
                                    <w:left w:val="nil"/>
                                    <w:bottom w:val="nil"/>
                                    <w:right w:val="nil"/>
                                  </w:tcBorders>
                                  <w:shd w:val="clear" w:color="auto" w:fill="auto"/>
                                  <w:noWrap/>
                                  <w:hideMark/>
                                </w:tcPr>
                                <w:p w14:paraId="14E0A01C" w14:textId="77777777" w:rsidR="00D36D98" w:rsidRPr="00733404" w:rsidRDefault="00D36D98" w:rsidP="00D36D98">
                                  <w:pPr>
                                    <w:jc w:val="center"/>
                                    <w:rPr>
                                      <w:rFonts w:ascii="Arial" w:hAnsi="Arial" w:cs="Arial"/>
                                      <w:b/>
                                      <w:bCs/>
                                      <w:color w:val="000000"/>
                                      <w:sz w:val="20"/>
                                    </w:rPr>
                                  </w:pPr>
                                  <w:r w:rsidRPr="00733404">
                                    <w:rPr>
                                      <w:rFonts w:ascii="Arial" w:hAnsi="Arial" w:cs="Arial"/>
                                      <w:b/>
                                      <w:bCs/>
                                      <w:color w:val="000000"/>
                                      <w:sz w:val="20"/>
                                    </w:rPr>
                                    <w:t>5.22%</w:t>
                                  </w:r>
                                </w:p>
                              </w:tc>
                              <w:tc>
                                <w:tcPr>
                                  <w:tcW w:w="1160" w:type="dxa"/>
                                  <w:tcBorders>
                                    <w:top w:val="nil"/>
                                    <w:left w:val="nil"/>
                                    <w:bottom w:val="nil"/>
                                    <w:right w:val="nil"/>
                                  </w:tcBorders>
                                  <w:shd w:val="clear" w:color="auto" w:fill="auto"/>
                                  <w:noWrap/>
                                  <w:hideMark/>
                                </w:tcPr>
                                <w:p w14:paraId="086B1FE0" w14:textId="77777777" w:rsidR="00D36D98" w:rsidRPr="00733404" w:rsidRDefault="00D36D98" w:rsidP="00D36D98">
                                  <w:pPr>
                                    <w:jc w:val="center"/>
                                    <w:rPr>
                                      <w:rFonts w:ascii="Arial" w:hAnsi="Arial" w:cs="Arial"/>
                                      <w:b/>
                                      <w:bCs/>
                                      <w:color w:val="000000"/>
                                      <w:sz w:val="20"/>
                                    </w:rPr>
                                  </w:pPr>
                                  <w:r w:rsidRPr="00733404">
                                    <w:rPr>
                                      <w:rFonts w:ascii="Arial" w:hAnsi="Arial" w:cs="Arial"/>
                                      <w:b/>
                                      <w:bCs/>
                                      <w:color w:val="000000"/>
                                      <w:sz w:val="20"/>
                                    </w:rPr>
                                    <w:t>13.06%</w:t>
                                  </w:r>
                                </w:p>
                              </w:tc>
                              <w:tc>
                                <w:tcPr>
                                  <w:tcW w:w="1160" w:type="dxa"/>
                                  <w:tcBorders>
                                    <w:top w:val="nil"/>
                                    <w:left w:val="nil"/>
                                    <w:bottom w:val="nil"/>
                                    <w:right w:val="nil"/>
                                  </w:tcBorders>
                                  <w:shd w:val="clear" w:color="auto" w:fill="auto"/>
                                  <w:noWrap/>
                                  <w:hideMark/>
                                </w:tcPr>
                                <w:p w14:paraId="10B295B7" w14:textId="77777777" w:rsidR="00D36D98" w:rsidRPr="00733404" w:rsidRDefault="00D36D98" w:rsidP="00D36D98">
                                  <w:pPr>
                                    <w:jc w:val="center"/>
                                    <w:rPr>
                                      <w:rFonts w:ascii="Arial" w:hAnsi="Arial" w:cs="Arial"/>
                                      <w:b/>
                                      <w:bCs/>
                                      <w:color w:val="000000"/>
                                      <w:sz w:val="20"/>
                                    </w:rPr>
                                  </w:pPr>
                                  <w:r w:rsidRPr="00733404">
                                    <w:rPr>
                                      <w:rFonts w:ascii="Arial" w:hAnsi="Arial" w:cs="Arial"/>
                                      <w:b/>
                                      <w:bCs/>
                                      <w:color w:val="000000"/>
                                      <w:sz w:val="20"/>
                                    </w:rPr>
                                    <w:t>15.18%</w:t>
                                  </w:r>
                                </w:p>
                              </w:tc>
                              <w:tc>
                                <w:tcPr>
                                  <w:tcW w:w="1160" w:type="dxa"/>
                                  <w:tcBorders>
                                    <w:top w:val="nil"/>
                                    <w:left w:val="nil"/>
                                    <w:bottom w:val="nil"/>
                                    <w:right w:val="nil"/>
                                  </w:tcBorders>
                                  <w:shd w:val="clear" w:color="auto" w:fill="auto"/>
                                  <w:noWrap/>
                                  <w:hideMark/>
                                </w:tcPr>
                                <w:p w14:paraId="2E264FF1" w14:textId="77777777" w:rsidR="00D36D98" w:rsidRPr="00733404" w:rsidRDefault="00D36D98" w:rsidP="00D36D98">
                                  <w:pPr>
                                    <w:jc w:val="center"/>
                                    <w:rPr>
                                      <w:rFonts w:ascii="Arial" w:hAnsi="Arial" w:cs="Arial"/>
                                      <w:b/>
                                      <w:bCs/>
                                      <w:color w:val="000000"/>
                                      <w:sz w:val="20"/>
                                    </w:rPr>
                                  </w:pPr>
                                </w:p>
                              </w:tc>
                            </w:tr>
                            <w:tr w:rsidR="00D36D98" w:rsidRPr="00E34F67" w14:paraId="6035B1DA" w14:textId="77777777" w:rsidTr="00D36D98">
                              <w:trPr>
                                <w:trHeight w:val="240"/>
                              </w:trPr>
                              <w:tc>
                                <w:tcPr>
                                  <w:tcW w:w="3220" w:type="dxa"/>
                                  <w:tcBorders>
                                    <w:top w:val="nil"/>
                                    <w:left w:val="nil"/>
                                    <w:bottom w:val="nil"/>
                                    <w:right w:val="nil"/>
                                  </w:tcBorders>
                                  <w:shd w:val="clear" w:color="auto" w:fill="auto"/>
                                  <w:vAlign w:val="center"/>
                                  <w:hideMark/>
                                </w:tcPr>
                                <w:p w14:paraId="36A0285F" w14:textId="77777777" w:rsidR="00D36D98" w:rsidRPr="00733404" w:rsidRDefault="00D36D98" w:rsidP="00D36D98">
                                  <w:pPr>
                                    <w:rPr>
                                      <w:rFonts w:ascii="Arial" w:hAnsi="Arial" w:cs="Arial"/>
                                      <w:sz w:val="20"/>
                                    </w:rPr>
                                  </w:pPr>
                                  <w:r w:rsidRPr="00733404">
                                    <w:rPr>
                                      <w:rFonts w:ascii="Arial" w:hAnsi="Arial" w:cs="Arial"/>
                                      <w:sz w:val="20"/>
                                    </w:rPr>
                                    <w:t>Advent Capital Management</w:t>
                                  </w:r>
                                </w:p>
                              </w:tc>
                              <w:tc>
                                <w:tcPr>
                                  <w:tcW w:w="1600" w:type="dxa"/>
                                  <w:tcBorders>
                                    <w:top w:val="nil"/>
                                    <w:left w:val="nil"/>
                                    <w:bottom w:val="nil"/>
                                    <w:right w:val="nil"/>
                                  </w:tcBorders>
                                  <w:shd w:val="clear" w:color="auto" w:fill="auto"/>
                                  <w:noWrap/>
                                  <w:vAlign w:val="center"/>
                                  <w:hideMark/>
                                </w:tcPr>
                                <w:p w14:paraId="393990F0" w14:textId="77777777" w:rsidR="00D36D98" w:rsidRPr="00733404" w:rsidRDefault="00D36D98" w:rsidP="00D36D98">
                                  <w:pPr>
                                    <w:jc w:val="right"/>
                                    <w:rPr>
                                      <w:rFonts w:ascii="Arial" w:hAnsi="Arial" w:cs="Arial"/>
                                      <w:color w:val="000000"/>
                                      <w:sz w:val="20"/>
                                    </w:rPr>
                                  </w:pPr>
                                  <w:r w:rsidRPr="00733404">
                                    <w:rPr>
                                      <w:rFonts w:ascii="Arial" w:hAnsi="Arial" w:cs="Arial"/>
                                      <w:color w:val="000000"/>
                                      <w:sz w:val="20"/>
                                    </w:rPr>
                                    <w:t>$26,344,689.00</w:t>
                                  </w:r>
                                </w:p>
                              </w:tc>
                              <w:tc>
                                <w:tcPr>
                                  <w:tcW w:w="1160" w:type="dxa"/>
                                  <w:tcBorders>
                                    <w:top w:val="nil"/>
                                    <w:left w:val="nil"/>
                                    <w:bottom w:val="nil"/>
                                    <w:right w:val="nil"/>
                                  </w:tcBorders>
                                  <w:shd w:val="clear" w:color="auto" w:fill="auto"/>
                                  <w:noWrap/>
                                  <w:vAlign w:val="center"/>
                                  <w:hideMark/>
                                </w:tcPr>
                                <w:p w14:paraId="707A2B84" w14:textId="77777777" w:rsidR="00D36D98" w:rsidRPr="00733404" w:rsidRDefault="00D36D98" w:rsidP="00D36D98">
                                  <w:pPr>
                                    <w:jc w:val="center"/>
                                    <w:rPr>
                                      <w:rFonts w:ascii="Arial" w:hAnsi="Arial" w:cs="Arial"/>
                                      <w:color w:val="000000"/>
                                      <w:sz w:val="20"/>
                                    </w:rPr>
                                  </w:pPr>
                                  <w:r w:rsidRPr="00733404">
                                    <w:rPr>
                                      <w:rFonts w:ascii="Arial" w:hAnsi="Arial" w:cs="Arial"/>
                                      <w:color w:val="000000"/>
                                      <w:sz w:val="20"/>
                                    </w:rPr>
                                    <w:t>5.22%</w:t>
                                  </w:r>
                                </w:p>
                              </w:tc>
                              <w:tc>
                                <w:tcPr>
                                  <w:tcW w:w="1160" w:type="dxa"/>
                                  <w:tcBorders>
                                    <w:top w:val="nil"/>
                                    <w:left w:val="nil"/>
                                    <w:bottom w:val="nil"/>
                                    <w:right w:val="nil"/>
                                  </w:tcBorders>
                                  <w:shd w:val="clear" w:color="auto" w:fill="auto"/>
                                  <w:noWrap/>
                                  <w:vAlign w:val="center"/>
                                  <w:hideMark/>
                                </w:tcPr>
                                <w:p w14:paraId="19E4491D" w14:textId="77777777" w:rsidR="00D36D98" w:rsidRPr="00733404" w:rsidRDefault="00D36D98" w:rsidP="00D36D98">
                                  <w:pPr>
                                    <w:jc w:val="center"/>
                                    <w:rPr>
                                      <w:rFonts w:ascii="Arial" w:hAnsi="Arial" w:cs="Arial"/>
                                      <w:color w:val="000000"/>
                                      <w:sz w:val="20"/>
                                    </w:rPr>
                                  </w:pPr>
                                  <w:r w:rsidRPr="00733404">
                                    <w:rPr>
                                      <w:rFonts w:ascii="Arial" w:hAnsi="Arial" w:cs="Arial"/>
                                      <w:color w:val="000000"/>
                                      <w:sz w:val="20"/>
                                    </w:rPr>
                                    <w:t>13.06%</w:t>
                                  </w:r>
                                </w:p>
                              </w:tc>
                              <w:tc>
                                <w:tcPr>
                                  <w:tcW w:w="1160" w:type="dxa"/>
                                  <w:tcBorders>
                                    <w:top w:val="nil"/>
                                    <w:left w:val="nil"/>
                                    <w:bottom w:val="nil"/>
                                    <w:right w:val="nil"/>
                                  </w:tcBorders>
                                  <w:shd w:val="clear" w:color="auto" w:fill="auto"/>
                                  <w:noWrap/>
                                  <w:vAlign w:val="center"/>
                                  <w:hideMark/>
                                </w:tcPr>
                                <w:p w14:paraId="65D58F36" w14:textId="77777777" w:rsidR="00D36D98" w:rsidRPr="00733404" w:rsidRDefault="00D36D98" w:rsidP="00D36D98">
                                  <w:pPr>
                                    <w:jc w:val="center"/>
                                    <w:rPr>
                                      <w:rFonts w:ascii="Arial" w:hAnsi="Arial" w:cs="Arial"/>
                                      <w:color w:val="000000"/>
                                      <w:sz w:val="20"/>
                                    </w:rPr>
                                  </w:pPr>
                                  <w:r w:rsidRPr="00733404">
                                    <w:rPr>
                                      <w:rFonts w:ascii="Arial" w:hAnsi="Arial" w:cs="Arial"/>
                                      <w:color w:val="000000"/>
                                      <w:sz w:val="20"/>
                                    </w:rPr>
                                    <w:t>15.18%</w:t>
                                  </w:r>
                                </w:p>
                              </w:tc>
                              <w:tc>
                                <w:tcPr>
                                  <w:tcW w:w="1160" w:type="dxa"/>
                                  <w:tcBorders>
                                    <w:top w:val="nil"/>
                                    <w:left w:val="nil"/>
                                    <w:bottom w:val="nil"/>
                                    <w:right w:val="nil"/>
                                  </w:tcBorders>
                                  <w:shd w:val="clear" w:color="auto" w:fill="auto"/>
                                  <w:noWrap/>
                                  <w:vAlign w:val="center"/>
                                  <w:hideMark/>
                                </w:tcPr>
                                <w:p w14:paraId="4CE3F4DD" w14:textId="77777777" w:rsidR="00D36D98" w:rsidRPr="00733404" w:rsidRDefault="00D36D98" w:rsidP="00D36D98">
                                  <w:pPr>
                                    <w:jc w:val="center"/>
                                    <w:rPr>
                                      <w:rFonts w:ascii="Arial" w:hAnsi="Arial" w:cs="Arial"/>
                                      <w:color w:val="000000"/>
                                      <w:sz w:val="20"/>
                                    </w:rPr>
                                  </w:pPr>
                                  <w:r w:rsidRPr="00733404">
                                    <w:rPr>
                                      <w:rFonts w:ascii="Arial" w:hAnsi="Arial" w:cs="Arial"/>
                                      <w:color w:val="000000"/>
                                      <w:sz w:val="20"/>
                                    </w:rPr>
                                    <w:t>13.18%</w:t>
                                  </w:r>
                                </w:p>
                              </w:tc>
                            </w:tr>
                            <w:tr w:rsidR="00D36D98" w:rsidRPr="00E34F67" w14:paraId="07DE6024" w14:textId="77777777" w:rsidTr="00D36D98">
                              <w:trPr>
                                <w:trHeight w:val="240"/>
                              </w:trPr>
                              <w:tc>
                                <w:tcPr>
                                  <w:tcW w:w="3220" w:type="dxa"/>
                                  <w:tcBorders>
                                    <w:top w:val="nil"/>
                                    <w:left w:val="nil"/>
                                    <w:bottom w:val="nil"/>
                                    <w:right w:val="nil"/>
                                  </w:tcBorders>
                                  <w:shd w:val="clear" w:color="auto" w:fill="auto"/>
                                  <w:vAlign w:val="center"/>
                                  <w:hideMark/>
                                </w:tcPr>
                                <w:p w14:paraId="06F4E3CC" w14:textId="77777777" w:rsidR="00D36D98" w:rsidRPr="00733404" w:rsidRDefault="00D36D98" w:rsidP="00D36D98">
                                  <w:pPr>
                                    <w:rPr>
                                      <w:rFonts w:ascii="Arial" w:hAnsi="Arial" w:cs="Arial"/>
                                      <w:b/>
                                      <w:bCs/>
                                      <w:sz w:val="20"/>
                                    </w:rPr>
                                  </w:pPr>
                                  <w:r w:rsidRPr="00733404">
                                    <w:rPr>
                                      <w:rFonts w:ascii="Arial" w:hAnsi="Arial" w:cs="Arial"/>
                                      <w:b/>
                                      <w:bCs/>
                                      <w:sz w:val="20"/>
                                    </w:rPr>
                                    <w:t>Global Fixed Income</w:t>
                                  </w:r>
                                </w:p>
                              </w:tc>
                              <w:tc>
                                <w:tcPr>
                                  <w:tcW w:w="1600" w:type="dxa"/>
                                  <w:tcBorders>
                                    <w:top w:val="nil"/>
                                    <w:left w:val="nil"/>
                                    <w:bottom w:val="nil"/>
                                    <w:right w:val="nil"/>
                                  </w:tcBorders>
                                  <w:shd w:val="clear" w:color="auto" w:fill="auto"/>
                                  <w:vAlign w:val="center"/>
                                  <w:hideMark/>
                                </w:tcPr>
                                <w:p w14:paraId="7BD3B64A" w14:textId="77777777" w:rsidR="00D36D98" w:rsidRPr="00733404" w:rsidRDefault="00D36D98" w:rsidP="00D36D98">
                                  <w:pPr>
                                    <w:jc w:val="right"/>
                                    <w:rPr>
                                      <w:rFonts w:ascii="Arial" w:hAnsi="Arial" w:cs="Arial"/>
                                      <w:b/>
                                      <w:bCs/>
                                      <w:sz w:val="20"/>
                                    </w:rPr>
                                  </w:pPr>
                                  <w:r w:rsidRPr="00733404">
                                    <w:rPr>
                                      <w:rFonts w:ascii="Arial" w:hAnsi="Arial" w:cs="Arial"/>
                                      <w:b/>
                                      <w:bCs/>
                                      <w:sz w:val="20"/>
                                    </w:rPr>
                                    <w:t>$34,085,200.00</w:t>
                                  </w:r>
                                </w:p>
                              </w:tc>
                              <w:tc>
                                <w:tcPr>
                                  <w:tcW w:w="1160" w:type="dxa"/>
                                  <w:tcBorders>
                                    <w:top w:val="nil"/>
                                    <w:left w:val="nil"/>
                                    <w:bottom w:val="nil"/>
                                    <w:right w:val="nil"/>
                                  </w:tcBorders>
                                  <w:shd w:val="clear" w:color="auto" w:fill="auto"/>
                                  <w:vAlign w:val="center"/>
                                  <w:hideMark/>
                                </w:tcPr>
                                <w:p w14:paraId="04052308" w14:textId="77777777" w:rsidR="00D36D98" w:rsidRPr="00733404" w:rsidRDefault="00D36D98" w:rsidP="00D36D98">
                                  <w:pPr>
                                    <w:jc w:val="center"/>
                                    <w:rPr>
                                      <w:rFonts w:ascii="Arial" w:hAnsi="Arial" w:cs="Arial"/>
                                      <w:b/>
                                      <w:bCs/>
                                      <w:sz w:val="20"/>
                                    </w:rPr>
                                  </w:pPr>
                                  <w:r w:rsidRPr="00733404">
                                    <w:rPr>
                                      <w:rFonts w:ascii="Arial" w:hAnsi="Arial" w:cs="Arial"/>
                                      <w:b/>
                                      <w:bCs/>
                                      <w:sz w:val="20"/>
                                    </w:rPr>
                                    <w:t>6.75%</w:t>
                                  </w:r>
                                </w:p>
                              </w:tc>
                              <w:tc>
                                <w:tcPr>
                                  <w:tcW w:w="1160" w:type="dxa"/>
                                  <w:tcBorders>
                                    <w:top w:val="nil"/>
                                    <w:left w:val="nil"/>
                                    <w:bottom w:val="nil"/>
                                    <w:right w:val="nil"/>
                                  </w:tcBorders>
                                  <w:shd w:val="clear" w:color="auto" w:fill="auto"/>
                                  <w:vAlign w:val="center"/>
                                  <w:hideMark/>
                                </w:tcPr>
                                <w:p w14:paraId="541D9DFB" w14:textId="77777777" w:rsidR="00D36D98" w:rsidRPr="00733404" w:rsidRDefault="00D36D98" w:rsidP="00D36D98">
                                  <w:pPr>
                                    <w:jc w:val="center"/>
                                    <w:rPr>
                                      <w:rFonts w:ascii="Arial" w:hAnsi="Arial" w:cs="Arial"/>
                                      <w:color w:val="000000"/>
                                      <w:sz w:val="20"/>
                                    </w:rPr>
                                  </w:pPr>
                                  <w:r w:rsidRPr="00733404">
                                    <w:rPr>
                                      <w:rFonts w:ascii="Arial" w:hAnsi="Arial" w:cs="Arial"/>
                                      <w:color w:val="000000"/>
                                      <w:sz w:val="20"/>
                                    </w:rPr>
                                    <w:t>-3.75%</w:t>
                                  </w:r>
                                </w:p>
                              </w:tc>
                              <w:tc>
                                <w:tcPr>
                                  <w:tcW w:w="1160" w:type="dxa"/>
                                  <w:tcBorders>
                                    <w:top w:val="nil"/>
                                    <w:left w:val="nil"/>
                                    <w:bottom w:val="nil"/>
                                    <w:right w:val="nil"/>
                                  </w:tcBorders>
                                  <w:shd w:val="clear" w:color="auto" w:fill="auto"/>
                                  <w:noWrap/>
                                  <w:vAlign w:val="center"/>
                                  <w:hideMark/>
                                </w:tcPr>
                                <w:p w14:paraId="0F42893E" w14:textId="77777777" w:rsidR="00D36D98" w:rsidRPr="00733404" w:rsidRDefault="00D36D98" w:rsidP="00D36D98">
                                  <w:pPr>
                                    <w:jc w:val="center"/>
                                    <w:rPr>
                                      <w:rFonts w:ascii="Arial" w:hAnsi="Arial" w:cs="Arial"/>
                                      <w:b/>
                                      <w:bCs/>
                                      <w:color w:val="000000"/>
                                      <w:sz w:val="20"/>
                                    </w:rPr>
                                  </w:pPr>
                                  <w:r w:rsidRPr="00733404">
                                    <w:rPr>
                                      <w:rFonts w:ascii="Arial" w:hAnsi="Arial" w:cs="Arial"/>
                                      <w:b/>
                                      <w:bCs/>
                                      <w:color w:val="000000"/>
                                      <w:sz w:val="20"/>
                                    </w:rPr>
                                    <w:t>5.33%</w:t>
                                  </w:r>
                                </w:p>
                              </w:tc>
                              <w:tc>
                                <w:tcPr>
                                  <w:tcW w:w="1160" w:type="dxa"/>
                                  <w:tcBorders>
                                    <w:top w:val="nil"/>
                                    <w:left w:val="nil"/>
                                    <w:bottom w:val="nil"/>
                                    <w:right w:val="nil"/>
                                  </w:tcBorders>
                                  <w:shd w:val="clear" w:color="auto" w:fill="auto"/>
                                  <w:noWrap/>
                                  <w:vAlign w:val="center"/>
                                  <w:hideMark/>
                                </w:tcPr>
                                <w:p w14:paraId="0697C7F3" w14:textId="77777777" w:rsidR="00D36D98" w:rsidRPr="00733404" w:rsidRDefault="00D36D98" w:rsidP="00D36D98">
                                  <w:pPr>
                                    <w:jc w:val="center"/>
                                    <w:rPr>
                                      <w:rFonts w:ascii="Arial" w:hAnsi="Arial" w:cs="Arial"/>
                                      <w:b/>
                                      <w:bCs/>
                                      <w:color w:val="000000"/>
                                      <w:sz w:val="20"/>
                                    </w:rPr>
                                  </w:pPr>
                                  <w:r w:rsidRPr="00733404">
                                    <w:rPr>
                                      <w:rFonts w:ascii="Arial" w:hAnsi="Arial" w:cs="Arial"/>
                                      <w:b/>
                                      <w:bCs/>
                                      <w:color w:val="000000"/>
                                      <w:sz w:val="20"/>
                                    </w:rPr>
                                    <w:t>4.83%</w:t>
                                  </w:r>
                                </w:p>
                              </w:tc>
                            </w:tr>
                            <w:tr w:rsidR="00D36D98" w:rsidRPr="00E34F67" w14:paraId="403954D2" w14:textId="77777777" w:rsidTr="00D36D98">
                              <w:trPr>
                                <w:trHeight w:val="240"/>
                              </w:trPr>
                              <w:tc>
                                <w:tcPr>
                                  <w:tcW w:w="3220" w:type="dxa"/>
                                  <w:tcBorders>
                                    <w:top w:val="nil"/>
                                    <w:left w:val="nil"/>
                                    <w:bottom w:val="nil"/>
                                    <w:right w:val="nil"/>
                                  </w:tcBorders>
                                  <w:shd w:val="clear" w:color="auto" w:fill="auto"/>
                                  <w:vAlign w:val="center"/>
                                  <w:hideMark/>
                                </w:tcPr>
                                <w:p w14:paraId="791AF4A8" w14:textId="77777777" w:rsidR="00D36D98" w:rsidRPr="00733404" w:rsidRDefault="00D36D98" w:rsidP="00D36D98">
                                  <w:pPr>
                                    <w:rPr>
                                      <w:rFonts w:ascii="Arial" w:hAnsi="Arial" w:cs="Arial"/>
                                      <w:sz w:val="20"/>
                                    </w:rPr>
                                  </w:pPr>
                                  <w:r w:rsidRPr="00733404">
                                    <w:rPr>
                                      <w:rFonts w:ascii="Arial" w:hAnsi="Arial" w:cs="Arial"/>
                                      <w:sz w:val="20"/>
                                    </w:rPr>
                                    <w:t>Brandywine Global Fixed</w:t>
                                  </w:r>
                                </w:p>
                              </w:tc>
                              <w:tc>
                                <w:tcPr>
                                  <w:tcW w:w="1600" w:type="dxa"/>
                                  <w:tcBorders>
                                    <w:top w:val="nil"/>
                                    <w:left w:val="nil"/>
                                    <w:bottom w:val="nil"/>
                                    <w:right w:val="nil"/>
                                  </w:tcBorders>
                                  <w:shd w:val="clear" w:color="auto" w:fill="auto"/>
                                  <w:noWrap/>
                                  <w:vAlign w:val="center"/>
                                  <w:hideMark/>
                                </w:tcPr>
                                <w:p w14:paraId="1A28B7FC" w14:textId="77777777" w:rsidR="00D36D98" w:rsidRPr="00733404" w:rsidRDefault="00D36D98" w:rsidP="00D36D98">
                                  <w:pPr>
                                    <w:jc w:val="right"/>
                                    <w:rPr>
                                      <w:rFonts w:ascii="Arial" w:hAnsi="Arial" w:cs="Arial"/>
                                      <w:color w:val="000000"/>
                                      <w:sz w:val="20"/>
                                    </w:rPr>
                                  </w:pPr>
                                  <w:r w:rsidRPr="00733404">
                                    <w:rPr>
                                      <w:rFonts w:ascii="Arial" w:hAnsi="Arial" w:cs="Arial"/>
                                      <w:color w:val="000000"/>
                                      <w:sz w:val="20"/>
                                    </w:rPr>
                                    <w:t>$34,085,200.00</w:t>
                                  </w:r>
                                </w:p>
                              </w:tc>
                              <w:tc>
                                <w:tcPr>
                                  <w:tcW w:w="1160" w:type="dxa"/>
                                  <w:tcBorders>
                                    <w:top w:val="nil"/>
                                    <w:left w:val="nil"/>
                                    <w:bottom w:val="nil"/>
                                    <w:right w:val="nil"/>
                                  </w:tcBorders>
                                  <w:shd w:val="clear" w:color="auto" w:fill="auto"/>
                                  <w:noWrap/>
                                  <w:vAlign w:val="center"/>
                                  <w:hideMark/>
                                </w:tcPr>
                                <w:p w14:paraId="27270834" w14:textId="77777777" w:rsidR="00D36D98" w:rsidRPr="00733404" w:rsidRDefault="00D36D98" w:rsidP="00D36D98">
                                  <w:pPr>
                                    <w:jc w:val="center"/>
                                    <w:rPr>
                                      <w:rFonts w:ascii="Arial" w:hAnsi="Arial" w:cs="Arial"/>
                                      <w:color w:val="000000"/>
                                      <w:sz w:val="20"/>
                                    </w:rPr>
                                  </w:pPr>
                                  <w:r w:rsidRPr="00733404">
                                    <w:rPr>
                                      <w:rFonts w:ascii="Arial" w:hAnsi="Arial" w:cs="Arial"/>
                                      <w:color w:val="000000"/>
                                      <w:sz w:val="20"/>
                                    </w:rPr>
                                    <w:t>6.75%</w:t>
                                  </w:r>
                                </w:p>
                              </w:tc>
                              <w:tc>
                                <w:tcPr>
                                  <w:tcW w:w="1160" w:type="dxa"/>
                                  <w:tcBorders>
                                    <w:top w:val="nil"/>
                                    <w:left w:val="nil"/>
                                    <w:bottom w:val="nil"/>
                                    <w:right w:val="nil"/>
                                  </w:tcBorders>
                                  <w:shd w:val="clear" w:color="auto" w:fill="auto"/>
                                  <w:vAlign w:val="center"/>
                                  <w:hideMark/>
                                </w:tcPr>
                                <w:p w14:paraId="1F727B93" w14:textId="77777777" w:rsidR="00D36D98" w:rsidRPr="00733404" w:rsidRDefault="00D36D98" w:rsidP="00D36D98">
                                  <w:pPr>
                                    <w:jc w:val="center"/>
                                    <w:rPr>
                                      <w:rFonts w:ascii="Arial" w:hAnsi="Arial" w:cs="Arial"/>
                                      <w:color w:val="000000"/>
                                      <w:sz w:val="20"/>
                                    </w:rPr>
                                  </w:pPr>
                                  <w:r w:rsidRPr="00733404">
                                    <w:rPr>
                                      <w:rFonts w:ascii="Arial" w:hAnsi="Arial" w:cs="Arial"/>
                                      <w:color w:val="000000"/>
                                      <w:sz w:val="20"/>
                                    </w:rPr>
                                    <w:t>-3.75%</w:t>
                                  </w:r>
                                </w:p>
                              </w:tc>
                              <w:tc>
                                <w:tcPr>
                                  <w:tcW w:w="1160" w:type="dxa"/>
                                  <w:tcBorders>
                                    <w:top w:val="nil"/>
                                    <w:left w:val="nil"/>
                                    <w:bottom w:val="nil"/>
                                    <w:right w:val="nil"/>
                                  </w:tcBorders>
                                  <w:shd w:val="clear" w:color="auto" w:fill="auto"/>
                                  <w:noWrap/>
                                  <w:vAlign w:val="center"/>
                                  <w:hideMark/>
                                </w:tcPr>
                                <w:p w14:paraId="05FB713A" w14:textId="77777777" w:rsidR="00D36D98" w:rsidRPr="00733404" w:rsidRDefault="00D36D98" w:rsidP="00D36D98">
                                  <w:pPr>
                                    <w:jc w:val="center"/>
                                    <w:rPr>
                                      <w:rFonts w:ascii="Arial" w:hAnsi="Arial" w:cs="Arial"/>
                                      <w:color w:val="000000"/>
                                      <w:sz w:val="20"/>
                                    </w:rPr>
                                  </w:pPr>
                                  <w:r w:rsidRPr="00733404">
                                    <w:rPr>
                                      <w:rFonts w:ascii="Arial" w:hAnsi="Arial" w:cs="Arial"/>
                                      <w:color w:val="000000"/>
                                      <w:sz w:val="20"/>
                                    </w:rPr>
                                    <w:t>5.33%</w:t>
                                  </w:r>
                                </w:p>
                              </w:tc>
                              <w:tc>
                                <w:tcPr>
                                  <w:tcW w:w="1160" w:type="dxa"/>
                                  <w:tcBorders>
                                    <w:top w:val="nil"/>
                                    <w:left w:val="nil"/>
                                    <w:bottom w:val="nil"/>
                                    <w:right w:val="nil"/>
                                  </w:tcBorders>
                                  <w:shd w:val="clear" w:color="auto" w:fill="auto"/>
                                  <w:noWrap/>
                                  <w:vAlign w:val="center"/>
                                  <w:hideMark/>
                                </w:tcPr>
                                <w:p w14:paraId="1A3361BD" w14:textId="77777777" w:rsidR="00D36D98" w:rsidRPr="00733404" w:rsidRDefault="00D36D98" w:rsidP="00D36D98">
                                  <w:pPr>
                                    <w:jc w:val="center"/>
                                    <w:rPr>
                                      <w:rFonts w:ascii="Arial" w:hAnsi="Arial" w:cs="Arial"/>
                                      <w:color w:val="000000"/>
                                      <w:sz w:val="20"/>
                                    </w:rPr>
                                  </w:pPr>
                                  <w:r w:rsidRPr="00733404">
                                    <w:rPr>
                                      <w:rFonts w:ascii="Arial" w:hAnsi="Arial" w:cs="Arial"/>
                                      <w:color w:val="000000"/>
                                      <w:sz w:val="20"/>
                                    </w:rPr>
                                    <w:t>4.83%</w:t>
                                  </w:r>
                                </w:p>
                              </w:tc>
                            </w:tr>
                            <w:tr w:rsidR="00D36D98" w:rsidRPr="00E34F67" w14:paraId="333B0DB4" w14:textId="77777777" w:rsidTr="00D36D98">
                              <w:trPr>
                                <w:trHeight w:val="240"/>
                              </w:trPr>
                              <w:tc>
                                <w:tcPr>
                                  <w:tcW w:w="3220" w:type="dxa"/>
                                  <w:tcBorders>
                                    <w:top w:val="nil"/>
                                    <w:left w:val="nil"/>
                                    <w:bottom w:val="nil"/>
                                    <w:right w:val="nil"/>
                                  </w:tcBorders>
                                  <w:shd w:val="clear" w:color="auto" w:fill="auto"/>
                                  <w:vAlign w:val="center"/>
                                  <w:hideMark/>
                                </w:tcPr>
                                <w:p w14:paraId="7277C8DD" w14:textId="77777777" w:rsidR="00D36D98" w:rsidRPr="00733404" w:rsidRDefault="00D36D98" w:rsidP="00D36D98">
                                  <w:pPr>
                                    <w:rPr>
                                      <w:rFonts w:ascii="Arial" w:hAnsi="Arial" w:cs="Arial"/>
                                      <w:b/>
                                      <w:bCs/>
                                      <w:sz w:val="20"/>
                                    </w:rPr>
                                  </w:pPr>
                                  <w:r w:rsidRPr="00733404">
                                    <w:rPr>
                                      <w:rFonts w:ascii="Arial" w:hAnsi="Arial" w:cs="Arial"/>
                                      <w:b/>
                                      <w:bCs/>
                                      <w:sz w:val="20"/>
                                    </w:rPr>
                                    <w:t>Real Estate</w:t>
                                  </w:r>
                                </w:p>
                              </w:tc>
                              <w:tc>
                                <w:tcPr>
                                  <w:tcW w:w="1600" w:type="dxa"/>
                                  <w:tcBorders>
                                    <w:top w:val="nil"/>
                                    <w:left w:val="nil"/>
                                    <w:bottom w:val="nil"/>
                                    <w:right w:val="nil"/>
                                  </w:tcBorders>
                                  <w:shd w:val="clear" w:color="auto" w:fill="auto"/>
                                  <w:noWrap/>
                                  <w:vAlign w:val="center"/>
                                  <w:hideMark/>
                                </w:tcPr>
                                <w:p w14:paraId="7861B88C" w14:textId="77777777" w:rsidR="00D36D98" w:rsidRPr="00733404" w:rsidRDefault="00D36D98" w:rsidP="00D36D98">
                                  <w:pPr>
                                    <w:jc w:val="right"/>
                                    <w:rPr>
                                      <w:rFonts w:ascii="Arial" w:hAnsi="Arial" w:cs="Arial"/>
                                      <w:b/>
                                      <w:bCs/>
                                      <w:color w:val="000000"/>
                                      <w:sz w:val="20"/>
                                    </w:rPr>
                                  </w:pPr>
                                  <w:r w:rsidRPr="00733404">
                                    <w:rPr>
                                      <w:rFonts w:ascii="Arial" w:hAnsi="Arial" w:cs="Arial"/>
                                      <w:b/>
                                      <w:bCs/>
                                      <w:color w:val="000000"/>
                                      <w:sz w:val="20"/>
                                    </w:rPr>
                                    <w:t>$26,438,468.00</w:t>
                                  </w:r>
                                </w:p>
                              </w:tc>
                              <w:tc>
                                <w:tcPr>
                                  <w:tcW w:w="1160" w:type="dxa"/>
                                  <w:tcBorders>
                                    <w:top w:val="nil"/>
                                    <w:left w:val="nil"/>
                                    <w:bottom w:val="nil"/>
                                    <w:right w:val="nil"/>
                                  </w:tcBorders>
                                  <w:shd w:val="clear" w:color="auto" w:fill="auto"/>
                                  <w:noWrap/>
                                  <w:vAlign w:val="center"/>
                                  <w:hideMark/>
                                </w:tcPr>
                                <w:p w14:paraId="57F1D336" w14:textId="77777777" w:rsidR="00D36D98" w:rsidRPr="00733404" w:rsidRDefault="00D36D98" w:rsidP="00D36D98">
                                  <w:pPr>
                                    <w:jc w:val="center"/>
                                    <w:rPr>
                                      <w:rFonts w:ascii="Arial" w:hAnsi="Arial" w:cs="Arial"/>
                                      <w:b/>
                                      <w:bCs/>
                                      <w:color w:val="000000"/>
                                      <w:sz w:val="20"/>
                                    </w:rPr>
                                  </w:pPr>
                                  <w:r w:rsidRPr="00733404">
                                    <w:rPr>
                                      <w:rFonts w:ascii="Arial" w:hAnsi="Arial" w:cs="Arial"/>
                                      <w:b/>
                                      <w:bCs/>
                                      <w:color w:val="000000"/>
                                      <w:sz w:val="20"/>
                                    </w:rPr>
                                    <w:t>5.23%</w:t>
                                  </w:r>
                                </w:p>
                              </w:tc>
                              <w:tc>
                                <w:tcPr>
                                  <w:tcW w:w="1160" w:type="dxa"/>
                                  <w:tcBorders>
                                    <w:top w:val="nil"/>
                                    <w:left w:val="nil"/>
                                    <w:bottom w:val="nil"/>
                                    <w:right w:val="nil"/>
                                  </w:tcBorders>
                                  <w:shd w:val="clear" w:color="auto" w:fill="auto"/>
                                  <w:noWrap/>
                                  <w:vAlign w:val="center"/>
                                  <w:hideMark/>
                                </w:tcPr>
                                <w:p w14:paraId="73409E4C" w14:textId="77777777" w:rsidR="00D36D98" w:rsidRPr="00733404" w:rsidRDefault="00D36D98" w:rsidP="00D36D98">
                                  <w:pPr>
                                    <w:jc w:val="center"/>
                                    <w:rPr>
                                      <w:rFonts w:ascii="Arial" w:hAnsi="Arial" w:cs="Arial"/>
                                      <w:b/>
                                      <w:bCs/>
                                      <w:color w:val="000000"/>
                                      <w:sz w:val="20"/>
                                    </w:rPr>
                                  </w:pPr>
                                  <w:r w:rsidRPr="00733404">
                                    <w:rPr>
                                      <w:rFonts w:ascii="Arial" w:hAnsi="Arial" w:cs="Arial"/>
                                      <w:b/>
                                      <w:bCs/>
                                      <w:color w:val="000000"/>
                                      <w:sz w:val="20"/>
                                    </w:rPr>
                                    <w:t>24.99%</w:t>
                                  </w:r>
                                </w:p>
                              </w:tc>
                              <w:tc>
                                <w:tcPr>
                                  <w:tcW w:w="1160" w:type="dxa"/>
                                  <w:tcBorders>
                                    <w:top w:val="nil"/>
                                    <w:left w:val="nil"/>
                                    <w:bottom w:val="nil"/>
                                    <w:right w:val="nil"/>
                                  </w:tcBorders>
                                  <w:shd w:val="clear" w:color="auto" w:fill="auto"/>
                                  <w:noWrap/>
                                  <w:vAlign w:val="center"/>
                                  <w:hideMark/>
                                </w:tcPr>
                                <w:p w14:paraId="1105C817" w14:textId="77777777" w:rsidR="00D36D98" w:rsidRPr="00733404" w:rsidRDefault="00D36D98" w:rsidP="00D36D98">
                                  <w:pPr>
                                    <w:jc w:val="center"/>
                                    <w:rPr>
                                      <w:rFonts w:ascii="Arial" w:hAnsi="Arial" w:cs="Arial"/>
                                      <w:b/>
                                      <w:bCs/>
                                      <w:color w:val="000000"/>
                                      <w:sz w:val="20"/>
                                    </w:rPr>
                                  </w:pPr>
                                  <w:r w:rsidRPr="00733404">
                                    <w:rPr>
                                      <w:rFonts w:ascii="Arial" w:hAnsi="Arial" w:cs="Arial"/>
                                      <w:b/>
                                      <w:bCs/>
                                      <w:color w:val="000000"/>
                                      <w:sz w:val="20"/>
                                    </w:rPr>
                                    <w:t>11.01%</w:t>
                                  </w:r>
                                </w:p>
                              </w:tc>
                              <w:tc>
                                <w:tcPr>
                                  <w:tcW w:w="1160" w:type="dxa"/>
                                  <w:tcBorders>
                                    <w:top w:val="nil"/>
                                    <w:left w:val="nil"/>
                                    <w:bottom w:val="nil"/>
                                    <w:right w:val="nil"/>
                                  </w:tcBorders>
                                  <w:shd w:val="clear" w:color="auto" w:fill="auto"/>
                                  <w:noWrap/>
                                  <w:vAlign w:val="center"/>
                                  <w:hideMark/>
                                </w:tcPr>
                                <w:p w14:paraId="25D9E536" w14:textId="77777777" w:rsidR="00D36D98" w:rsidRPr="00733404" w:rsidRDefault="00D36D98" w:rsidP="00D36D98">
                                  <w:pPr>
                                    <w:jc w:val="center"/>
                                    <w:rPr>
                                      <w:rFonts w:ascii="Arial" w:hAnsi="Arial" w:cs="Arial"/>
                                      <w:b/>
                                      <w:bCs/>
                                      <w:color w:val="000000"/>
                                      <w:sz w:val="20"/>
                                    </w:rPr>
                                  </w:pPr>
                                  <w:r w:rsidRPr="00733404">
                                    <w:rPr>
                                      <w:rFonts w:ascii="Arial" w:hAnsi="Arial" w:cs="Arial"/>
                                      <w:b/>
                                      <w:bCs/>
                                      <w:color w:val="000000"/>
                                      <w:sz w:val="20"/>
                                    </w:rPr>
                                    <w:t>9.76%</w:t>
                                  </w:r>
                                </w:p>
                              </w:tc>
                            </w:tr>
                            <w:tr w:rsidR="00D36D98" w:rsidRPr="00E34F67" w14:paraId="0CF6004F" w14:textId="77777777" w:rsidTr="00D36D98">
                              <w:trPr>
                                <w:trHeight w:val="240"/>
                              </w:trPr>
                              <w:tc>
                                <w:tcPr>
                                  <w:tcW w:w="3220" w:type="dxa"/>
                                  <w:tcBorders>
                                    <w:top w:val="nil"/>
                                    <w:left w:val="nil"/>
                                    <w:bottom w:val="nil"/>
                                    <w:right w:val="nil"/>
                                  </w:tcBorders>
                                  <w:shd w:val="clear" w:color="auto" w:fill="auto"/>
                                  <w:vAlign w:val="center"/>
                                  <w:hideMark/>
                                </w:tcPr>
                                <w:p w14:paraId="7B8977FF" w14:textId="77777777" w:rsidR="00D36D98" w:rsidRPr="00733404" w:rsidRDefault="00D36D98" w:rsidP="00D36D98">
                                  <w:pPr>
                                    <w:rPr>
                                      <w:rFonts w:ascii="Arial" w:hAnsi="Arial" w:cs="Arial"/>
                                      <w:sz w:val="20"/>
                                    </w:rPr>
                                  </w:pPr>
                                  <w:r w:rsidRPr="00733404">
                                    <w:rPr>
                                      <w:rFonts w:ascii="Arial" w:hAnsi="Arial" w:cs="Arial"/>
                                      <w:sz w:val="20"/>
                                    </w:rPr>
                                    <w:t>RREEF America REIT II</w:t>
                                  </w:r>
                                </w:p>
                              </w:tc>
                              <w:tc>
                                <w:tcPr>
                                  <w:tcW w:w="1600" w:type="dxa"/>
                                  <w:tcBorders>
                                    <w:top w:val="nil"/>
                                    <w:left w:val="nil"/>
                                    <w:bottom w:val="nil"/>
                                    <w:right w:val="nil"/>
                                  </w:tcBorders>
                                  <w:shd w:val="clear" w:color="auto" w:fill="auto"/>
                                  <w:vAlign w:val="center"/>
                                  <w:hideMark/>
                                </w:tcPr>
                                <w:p w14:paraId="63CD6806" w14:textId="77777777" w:rsidR="00D36D98" w:rsidRPr="00733404" w:rsidRDefault="00D36D98" w:rsidP="00D36D98">
                                  <w:pPr>
                                    <w:jc w:val="right"/>
                                    <w:rPr>
                                      <w:rFonts w:ascii="Arial" w:hAnsi="Arial" w:cs="Arial"/>
                                      <w:sz w:val="20"/>
                                    </w:rPr>
                                  </w:pPr>
                                  <w:r w:rsidRPr="00733404">
                                    <w:rPr>
                                      <w:rFonts w:ascii="Arial" w:hAnsi="Arial" w:cs="Arial"/>
                                      <w:sz w:val="20"/>
                                    </w:rPr>
                                    <w:t>$26,438,468.00</w:t>
                                  </w:r>
                                </w:p>
                              </w:tc>
                              <w:tc>
                                <w:tcPr>
                                  <w:tcW w:w="1160" w:type="dxa"/>
                                  <w:tcBorders>
                                    <w:top w:val="nil"/>
                                    <w:left w:val="nil"/>
                                    <w:bottom w:val="nil"/>
                                    <w:right w:val="nil"/>
                                  </w:tcBorders>
                                  <w:shd w:val="clear" w:color="auto" w:fill="auto"/>
                                  <w:vAlign w:val="center"/>
                                  <w:hideMark/>
                                </w:tcPr>
                                <w:p w14:paraId="5A1C87B8" w14:textId="77777777" w:rsidR="00D36D98" w:rsidRPr="00733404" w:rsidRDefault="00D36D98" w:rsidP="00D36D98">
                                  <w:pPr>
                                    <w:jc w:val="center"/>
                                    <w:rPr>
                                      <w:rFonts w:ascii="Arial" w:hAnsi="Arial" w:cs="Arial"/>
                                      <w:sz w:val="20"/>
                                    </w:rPr>
                                  </w:pPr>
                                  <w:r w:rsidRPr="00733404">
                                    <w:rPr>
                                      <w:rFonts w:ascii="Arial" w:hAnsi="Arial" w:cs="Arial"/>
                                      <w:sz w:val="20"/>
                                    </w:rPr>
                                    <w:t>5.23%</w:t>
                                  </w:r>
                                </w:p>
                              </w:tc>
                              <w:tc>
                                <w:tcPr>
                                  <w:tcW w:w="1160" w:type="dxa"/>
                                  <w:tcBorders>
                                    <w:top w:val="nil"/>
                                    <w:left w:val="nil"/>
                                    <w:bottom w:val="nil"/>
                                    <w:right w:val="nil"/>
                                  </w:tcBorders>
                                  <w:shd w:val="clear" w:color="auto" w:fill="auto"/>
                                  <w:noWrap/>
                                  <w:vAlign w:val="center"/>
                                  <w:hideMark/>
                                </w:tcPr>
                                <w:p w14:paraId="138F7A02" w14:textId="77777777" w:rsidR="00D36D98" w:rsidRPr="00733404" w:rsidRDefault="00D36D98" w:rsidP="00D36D98">
                                  <w:pPr>
                                    <w:jc w:val="center"/>
                                    <w:rPr>
                                      <w:rFonts w:ascii="Arial" w:hAnsi="Arial" w:cs="Arial"/>
                                      <w:color w:val="000000"/>
                                      <w:sz w:val="20"/>
                                    </w:rPr>
                                  </w:pPr>
                                  <w:r w:rsidRPr="00733404">
                                    <w:rPr>
                                      <w:rFonts w:ascii="Arial" w:hAnsi="Arial" w:cs="Arial"/>
                                      <w:color w:val="000000"/>
                                      <w:sz w:val="20"/>
                                    </w:rPr>
                                    <w:t>24.99%</w:t>
                                  </w:r>
                                </w:p>
                              </w:tc>
                              <w:tc>
                                <w:tcPr>
                                  <w:tcW w:w="1160" w:type="dxa"/>
                                  <w:tcBorders>
                                    <w:top w:val="nil"/>
                                    <w:left w:val="nil"/>
                                    <w:bottom w:val="nil"/>
                                    <w:right w:val="nil"/>
                                  </w:tcBorders>
                                  <w:shd w:val="clear" w:color="auto" w:fill="auto"/>
                                  <w:noWrap/>
                                  <w:vAlign w:val="center"/>
                                  <w:hideMark/>
                                </w:tcPr>
                                <w:p w14:paraId="0248623E" w14:textId="77777777" w:rsidR="00D36D98" w:rsidRPr="00733404" w:rsidRDefault="00D36D98" w:rsidP="00D36D98">
                                  <w:pPr>
                                    <w:jc w:val="center"/>
                                    <w:rPr>
                                      <w:rFonts w:ascii="Arial" w:hAnsi="Arial" w:cs="Arial"/>
                                      <w:color w:val="000000"/>
                                      <w:sz w:val="20"/>
                                    </w:rPr>
                                  </w:pPr>
                                  <w:r w:rsidRPr="00733404">
                                    <w:rPr>
                                      <w:rFonts w:ascii="Arial" w:hAnsi="Arial" w:cs="Arial"/>
                                      <w:color w:val="000000"/>
                                      <w:sz w:val="20"/>
                                    </w:rPr>
                                    <w:t>11.01%</w:t>
                                  </w:r>
                                </w:p>
                              </w:tc>
                              <w:tc>
                                <w:tcPr>
                                  <w:tcW w:w="1160" w:type="dxa"/>
                                  <w:tcBorders>
                                    <w:top w:val="nil"/>
                                    <w:left w:val="nil"/>
                                    <w:bottom w:val="nil"/>
                                    <w:right w:val="nil"/>
                                  </w:tcBorders>
                                  <w:shd w:val="clear" w:color="auto" w:fill="auto"/>
                                  <w:noWrap/>
                                  <w:vAlign w:val="center"/>
                                  <w:hideMark/>
                                </w:tcPr>
                                <w:p w14:paraId="2DED8AE3" w14:textId="77777777" w:rsidR="00D36D98" w:rsidRPr="00733404" w:rsidRDefault="00D36D98" w:rsidP="00D36D98">
                                  <w:pPr>
                                    <w:jc w:val="center"/>
                                    <w:rPr>
                                      <w:rFonts w:ascii="Arial" w:hAnsi="Arial" w:cs="Arial"/>
                                      <w:color w:val="000000"/>
                                      <w:sz w:val="20"/>
                                    </w:rPr>
                                  </w:pPr>
                                  <w:r w:rsidRPr="00733404">
                                    <w:rPr>
                                      <w:rFonts w:ascii="Arial" w:hAnsi="Arial" w:cs="Arial"/>
                                      <w:color w:val="000000"/>
                                      <w:sz w:val="20"/>
                                    </w:rPr>
                                    <w:t>9.76%</w:t>
                                  </w:r>
                                </w:p>
                              </w:tc>
                            </w:tr>
                            <w:tr w:rsidR="00D36D98" w:rsidRPr="00E34F67" w14:paraId="6FA58927" w14:textId="77777777" w:rsidTr="00733404">
                              <w:trPr>
                                <w:trHeight w:val="240"/>
                              </w:trPr>
                              <w:tc>
                                <w:tcPr>
                                  <w:tcW w:w="3220" w:type="dxa"/>
                                  <w:tcBorders>
                                    <w:top w:val="nil"/>
                                    <w:left w:val="nil"/>
                                    <w:right w:val="nil"/>
                                  </w:tcBorders>
                                  <w:shd w:val="clear" w:color="auto" w:fill="auto"/>
                                  <w:vAlign w:val="center"/>
                                  <w:hideMark/>
                                </w:tcPr>
                                <w:p w14:paraId="54769903" w14:textId="77777777" w:rsidR="00D36D98" w:rsidRPr="00733404" w:rsidRDefault="00D36D98" w:rsidP="00D36D98">
                                  <w:pPr>
                                    <w:rPr>
                                      <w:rFonts w:ascii="Arial" w:hAnsi="Arial" w:cs="Arial"/>
                                      <w:b/>
                                      <w:bCs/>
                                      <w:sz w:val="20"/>
                                    </w:rPr>
                                  </w:pPr>
                                  <w:r w:rsidRPr="00733404">
                                    <w:rPr>
                                      <w:rFonts w:ascii="Arial" w:hAnsi="Arial" w:cs="Arial"/>
                                      <w:b/>
                                      <w:bCs/>
                                      <w:sz w:val="20"/>
                                    </w:rPr>
                                    <w:t>Cash Account</w:t>
                                  </w:r>
                                </w:p>
                              </w:tc>
                              <w:tc>
                                <w:tcPr>
                                  <w:tcW w:w="1600" w:type="dxa"/>
                                  <w:tcBorders>
                                    <w:top w:val="nil"/>
                                    <w:left w:val="nil"/>
                                    <w:right w:val="nil"/>
                                  </w:tcBorders>
                                  <w:shd w:val="clear" w:color="auto" w:fill="auto"/>
                                  <w:noWrap/>
                                  <w:vAlign w:val="center"/>
                                  <w:hideMark/>
                                </w:tcPr>
                                <w:p w14:paraId="64D8D869" w14:textId="77777777" w:rsidR="00D36D98" w:rsidRPr="00733404" w:rsidRDefault="00D36D98" w:rsidP="00D36D98">
                                  <w:pPr>
                                    <w:jc w:val="right"/>
                                    <w:rPr>
                                      <w:rFonts w:ascii="Arial" w:hAnsi="Arial" w:cs="Arial"/>
                                      <w:b/>
                                      <w:bCs/>
                                      <w:color w:val="000000"/>
                                      <w:sz w:val="20"/>
                                    </w:rPr>
                                  </w:pPr>
                                  <w:r w:rsidRPr="00733404">
                                    <w:rPr>
                                      <w:rFonts w:ascii="Arial" w:hAnsi="Arial" w:cs="Arial"/>
                                      <w:b/>
                                      <w:bCs/>
                                      <w:color w:val="000000"/>
                                      <w:sz w:val="20"/>
                                    </w:rPr>
                                    <w:t>$3,135,135.00</w:t>
                                  </w:r>
                                </w:p>
                              </w:tc>
                              <w:tc>
                                <w:tcPr>
                                  <w:tcW w:w="1160" w:type="dxa"/>
                                  <w:tcBorders>
                                    <w:top w:val="nil"/>
                                    <w:left w:val="nil"/>
                                    <w:right w:val="nil"/>
                                  </w:tcBorders>
                                  <w:shd w:val="clear" w:color="auto" w:fill="auto"/>
                                  <w:noWrap/>
                                  <w:vAlign w:val="center"/>
                                  <w:hideMark/>
                                </w:tcPr>
                                <w:p w14:paraId="6DF3298E" w14:textId="77777777" w:rsidR="00D36D98" w:rsidRPr="00733404" w:rsidRDefault="00D36D98" w:rsidP="00D36D98">
                                  <w:pPr>
                                    <w:jc w:val="center"/>
                                    <w:rPr>
                                      <w:rFonts w:ascii="Arial" w:hAnsi="Arial" w:cs="Arial"/>
                                      <w:b/>
                                      <w:bCs/>
                                      <w:color w:val="000000"/>
                                      <w:sz w:val="20"/>
                                    </w:rPr>
                                  </w:pPr>
                                  <w:r w:rsidRPr="00733404">
                                    <w:rPr>
                                      <w:rFonts w:ascii="Arial" w:hAnsi="Arial" w:cs="Arial"/>
                                      <w:b/>
                                      <w:bCs/>
                                      <w:color w:val="000000"/>
                                      <w:sz w:val="20"/>
                                    </w:rPr>
                                    <w:t>0.62%</w:t>
                                  </w:r>
                                </w:p>
                              </w:tc>
                              <w:tc>
                                <w:tcPr>
                                  <w:tcW w:w="1160" w:type="dxa"/>
                                  <w:tcBorders>
                                    <w:top w:val="nil"/>
                                    <w:left w:val="nil"/>
                                    <w:right w:val="nil"/>
                                  </w:tcBorders>
                                  <w:shd w:val="clear" w:color="auto" w:fill="auto"/>
                                  <w:noWrap/>
                                  <w:vAlign w:val="center"/>
                                  <w:hideMark/>
                                </w:tcPr>
                                <w:p w14:paraId="248E1EA1" w14:textId="77777777" w:rsidR="00D36D98" w:rsidRPr="00733404" w:rsidRDefault="00D36D98" w:rsidP="00D36D98">
                                  <w:pPr>
                                    <w:jc w:val="center"/>
                                    <w:rPr>
                                      <w:rFonts w:ascii="Arial" w:hAnsi="Arial" w:cs="Arial"/>
                                      <w:b/>
                                      <w:bCs/>
                                      <w:color w:val="000000"/>
                                      <w:sz w:val="20"/>
                                    </w:rPr>
                                  </w:pPr>
                                  <w:r w:rsidRPr="00733404">
                                    <w:rPr>
                                      <w:rFonts w:ascii="Arial" w:hAnsi="Arial" w:cs="Arial"/>
                                      <w:b/>
                                      <w:bCs/>
                                      <w:color w:val="000000"/>
                                      <w:sz w:val="20"/>
                                    </w:rPr>
                                    <w:t>0.03%</w:t>
                                  </w:r>
                                </w:p>
                              </w:tc>
                              <w:tc>
                                <w:tcPr>
                                  <w:tcW w:w="1160" w:type="dxa"/>
                                  <w:tcBorders>
                                    <w:top w:val="nil"/>
                                    <w:left w:val="nil"/>
                                    <w:right w:val="nil"/>
                                  </w:tcBorders>
                                  <w:shd w:val="clear" w:color="auto" w:fill="auto"/>
                                  <w:noWrap/>
                                  <w:vAlign w:val="center"/>
                                  <w:hideMark/>
                                </w:tcPr>
                                <w:p w14:paraId="7B39CBA5" w14:textId="77777777" w:rsidR="00D36D98" w:rsidRPr="00733404" w:rsidRDefault="00D36D98" w:rsidP="00D36D98">
                                  <w:pPr>
                                    <w:jc w:val="center"/>
                                    <w:rPr>
                                      <w:rFonts w:ascii="Arial" w:hAnsi="Arial" w:cs="Arial"/>
                                      <w:b/>
                                      <w:bCs/>
                                      <w:color w:val="000000"/>
                                      <w:sz w:val="20"/>
                                    </w:rPr>
                                  </w:pPr>
                                  <w:r w:rsidRPr="00733404">
                                    <w:rPr>
                                      <w:rFonts w:ascii="Arial" w:hAnsi="Arial" w:cs="Arial"/>
                                      <w:b/>
                                      <w:bCs/>
                                      <w:color w:val="000000"/>
                                      <w:sz w:val="20"/>
                                    </w:rPr>
                                    <w:t>0.92%</w:t>
                                  </w:r>
                                </w:p>
                              </w:tc>
                              <w:tc>
                                <w:tcPr>
                                  <w:tcW w:w="1160" w:type="dxa"/>
                                  <w:tcBorders>
                                    <w:top w:val="nil"/>
                                    <w:left w:val="nil"/>
                                    <w:right w:val="nil"/>
                                  </w:tcBorders>
                                  <w:shd w:val="clear" w:color="auto" w:fill="auto"/>
                                  <w:noWrap/>
                                  <w:vAlign w:val="center"/>
                                  <w:hideMark/>
                                </w:tcPr>
                                <w:p w14:paraId="73466BE1" w14:textId="77777777" w:rsidR="00D36D98" w:rsidRPr="00733404" w:rsidRDefault="00D36D98" w:rsidP="00D36D98">
                                  <w:pPr>
                                    <w:jc w:val="center"/>
                                    <w:rPr>
                                      <w:rFonts w:ascii="Arial" w:hAnsi="Arial" w:cs="Arial"/>
                                      <w:b/>
                                      <w:bCs/>
                                      <w:color w:val="000000"/>
                                      <w:sz w:val="20"/>
                                    </w:rPr>
                                  </w:pPr>
                                  <w:r w:rsidRPr="00733404">
                                    <w:rPr>
                                      <w:rFonts w:ascii="Arial" w:hAnsi="Arial" w:cs="Arial"/>
                                      <w:b/>
                                      <w:bCs/>
                                      <w:color w:val="000000"/>
                                      <w:sz w:val="20"/>
                                    </w:rPr>
                                    <w:t>0.82%</w:t>
                                  </w:r>
                                </w:p>
                              </w:tc>
                            </w:tr>
                            <w:tr w:rsidR="00D36D98" w:rsidRPr="00E34F67" w14:paraId="7DD0BE63" w14:textId="77777777" w:rsidTr="00733404">
                              <w:trPr>
                                <w:trHeight w:val="240"/>
                              </w:trPr>
                              <w:tc>
                                <w:tcPr>
                                  <w:tcW w:w="3220" w:type="dxa"/>
                                  <w:tcBorders>
                                    <w:top w:val="nil"/>
                                    <w:left w:val="nil"/>
                                    <w:bottom w:val="single" w:sz="4" w:space="0" w:color="auto"/>
                                    <w:right w:val="nil"/>
                                  </w:tcBorders>
                                  <w:shd w:val="clear" w:color="auto" w:fill="auto"/>
                                  <w:hideMark/>
                                </w:tcPr>
                                <w:p w14:paraId="3C8B8518" w14:textId="77777777" w:rsidR="00D36D98" w:rsidRPr="00733404" w:rsidRDefault="00D36D98" w:rsidP="00D36D98">
                                  <w:pPr>
                                    <w:rPr>
                                      <w:rFonts w:ascii="Arial" w:hAnsi="Arial" w:cs="Arial"/>
                                      <w:sz w:val="20"/>
                                    </w:rPr>
                                  </w:pPr>
                                  <w:r w:rsidRPr="00733404">
                                    <w:rPr>
                                      <w:rFonts w:ascii="Arial" w:hAnsi="Arial" w:cs="Arial"/>
                                      <w:sz w:val="20"/>
                                    </w:rPr>
                                    <w:t>Cash Equivalents</w:t>
                                  </w:r>
                                </w:p>
                              </w:tc>
                              <w:tc>
                                <w:tcPr>
                                  <w:tcW w:w="1600" w:type="dxa"/>
                                  <w:tcBorders>
                                    <w:top w:val="nil"/>
                                    <w:left w:val="nil"/>
                                    <w:bottom w:val="single" w:sz="4" w:space="0" w:color="auto"/>
                                    <w:right w:val="nil"/>
                                  </w:tcBorders>
                                  <w:shd w:val="clear" w:color="auto" w:fill="auto"/>
                                  <w:noWrap/>
                                  <w:vAlign w:val="center"/>
                                  <w:hideMark/>
                                </w:tcPr>
                                <w:p w14:paraId="4F7DC129" w14:textId="77777777" w:rsidR="00D36D98" w:rsidRPr="00733404" w:rsidRDefault="00D36D98" w:rsidP="00D36D98">
                                  <w:pPr>
                                    <w:jc w:val="right"/>
                                    <w:rPr>
                                      <w:rFonts w:ascii="Arial" w:hAnsi="Arial" w:cs="Arial"/>
                                      <w:color w:val="000000"/>
                                      <w:sz w:val="20"/>
                                    </w:rPr>
                                  </w:pPr>
                                  <w:r w:rsidRPr="00733404">
                                    <w:rPr>
                                      <w:rFonts w:ascii="Arial" w:hAnsi="Arial" w:cs="Arial"/>
                                      <w:color w:val="000000"/>
                                      <w:sz w:val="20"/>
                                    </w:rPr>
                                    <w:t>$3,135,135.00</w:t>
                                  </w:r>
                                </w:p>
                              </w:tc>
                              <w:tc>
                                <w:tcPr>
                                  <w:tcW w:w="1160" w:type="dxa"/>
                                  <w:tcBorders>
                                    <w:top w:val="nil"/>
                                    <w:left w:val="nil"/>
                                    <w:bottom w:val="single" w:sz="4" w:space="0" w:color="auto"/>
                                    <w:right w:val="nil"/>
                                  </w:tcBorders>
                                  <w:shd w:val="clear" w:color="auto" w:fill="auto"/>
                                  <w:noWrap/>
                                  <w:hideMark/>
                                </w:tcPr>
                                <w:p w14:paraId="26681AC3" w14:textId="77777777" w:rsidR="00D36D98" w:rsidRPr="00733404" w:rsidRDefault="00D36D98" w:rsidP="00D36D98">
                                  <w:pPr>
                                    <w:jc w:val="center"/>
                                    <w:rPr>
                                      <w:rFonts w:ascii="Arial" w:hAnsi="Arial" w:cs="Arial"/>
                                      <w:color w:val="000000"/>
                                      <w:sz w:val="20"/>
                                    </w:rPr>
                                  </w:pPr>
                                  <w:r w:rsidRPr="00733404">
                                    <w:rPr>
                                      <w:rFonts w:ascii="Arial" w:hAnsi="Arial" w:cs="Arial"/>
                                      <w:color w:val="000000"/>
                                      <w:sz w:val="20"/>
                                    </w:rPr>
                                    <w:t>0.62%</w:t>
                                  </w:r>
                                </w:p>
                              </w:tc>
                              <w:tc>
                                <w:tcPr>
                                  <w:tcW w:w="1160" w:type="dxa"/>
                                  <w:tcBorders>
                                    <w:top w:val="nil"/>
                                    <w:left w:val="nil"/>
                                    <w:bottom w:val="single" w:sz="4" w:space="0" w:color="auto"/>
                                    <w:right w:val="nil"/>
                                  </w:tcBorders>
                                  <w:shd w:val="clear" w:color="auto" w:fill="auto"/>
                                  <w:noWrap/>
                                  <w:hideMark/>
                                </w:tcPr>
                                <w:p w14:paraId="02D76EA7" w14:textId="77777777" w:rsidR="00D36D98" w:rsidRPr="00733404" w:rsidRDefault="00D36D98" w:rsidP="00D36D98">
                                  <w:pPr>
                                    <w:jc w:val="center"/>
                                    <w:rPr>
                                      <w:rFonts w:ascii="Arial" w:hAnsi="Arial" w:cs="Arial"/>
                                      <w:color w:val="000000"/>
                                      <w:sz w:val="20"/>
                                    </w:rPr>
                                  </w:pPr>
                                  <w:r w:rsidRPr="00733404">
                                    <w:rPr>
                                      <w:rFonts w:ascii="Arial" w:hAnsi="Arial" w:cs="Arial"/>
                                      <w:color w:val="000000"/>
                                      <w:sz w:val="20"/>
                                    </w:rPr>
                                    <w:t>0.03%</w:t>
                                  </w:r>
                                </w:p>
                              </w:tc>
                              <w:tc>
                                <w:tcPr>
                                  <w:tcW w:w="1160" w:type="dxa"/>
                                  <w:tcBorders>
                                    <w:top w:val="nil"/>
                                    <w:left w:val="nil"/>
                                    <w:bottom w:val="single" w:sz="4" w:space="0" w:color="auto"/>
                                    <w:right w:val="nil"/>
                                  </w:tcBorders>
                                  <w:shd w:val="clear" w:color="auto" w:fill="auto"/>
                                  <w:noWrap/>
                                  <w:hideMark/>
                                </w:tcPr>
                                <w:p w14:paraId="1DBCBEE8" w14:textId="77777777" w:rsidR="00D36D98" w:rsidRPr="00733404" w:rsidRDefault="00D36D98" w:rsidP="00D36D98">
                                  <w:pPr>
                                    <w:jc w:val="center"/>
                                    <w:rPr>
                                      <w:rFonts w:ascii="Arial" w:hAnsi="Arial" w:cs="Arial"/>
                                      <w:color w:val="000000"/>
                                      <w:sz w:val="20"/>
                                    </w:rPr>
                                  </w:pPr>
                                  <w:r w:rsidRPr="00733404">
                                    <w:rPr>
                                      <w:rFonts w:ascii="Arial" w:hAnsi="Arial" w:cs="Arial"/>
                                      <w:color w:val="000000"/>
                                      <w:sz w:val="20"/>
                                    </w:rPr>
                                    <w:t>0.92%</w:t>
                                  </w:r>
                                </w:p>
                              </w:tc>
                              <w:tc>
                                <w:tcPr>
                                  <w:tcW w:w="1160" w:type="dxa"/>
                                  <w:tcBorders>
                                    <w:top w:val="nil"/>
                                    <w:left w:val="nil"/>
                                    <w:bottom w:val="single" w:sz="4" w:space="0" w:color="auto"/>
                                    <w:right w:val="nil"/>
                                  </w:tcBorders>
                                  <w:shd w:val="clear" w:color="auto" w:fill="auto"/>
                                  <w:noWrap/>
                                  <w:hideMark/>
                                </w:tcPr>
                                <w:p w14:paraId="6CF493A3" w14:textId="77777777" w:rsidR="00D36D98" w:rsidRPr="00733404" w:rsidRDefault="00D36D98" w:rsidP="00D36D98">
                                  <w:pPr>
                                    <w:jc w:val="center"/>
                                    <w:rPr>
                                      <w:rFonts w:ascii="Arial" w:hAnsi="Arial" w:cs="Arial"/>
                                      <w:color w:val="000000"/>
                                      <w:sz w:val="20"/>
                                    </w:rPr>
                                  </w:pPr>
                                  <w:r w:rsidRPr="00733404">
                                    <w:rPr>
                                      <w:rFonts w:ascii="Arial" w:hAnsi="Arial" w:cs="Arial"/>
                                      <w:color w:val="000000"/>
                                      <w:sz w:val="20"/>
                                    </w:rPr>
                                    <w:t>0.82%</w:t>
                                  </w:r>
                                </w:p>
                              </w:tc>
                            </w:tr>
                            <w:tr w:rsidR="00D36D98" w:rsidRPr="00E34F67" w14:paraId="059ECA99" w14:textId="77777777" w:rsidTr="00733404">
                              <w:trPr>
                                <w:trHeight w:val="240"/>
                              </w:trPr>
                              <w:tc>
                                <w:tcPr>
                                  <w:tcW w:w="3220" w:type="dxa"/>
                                  <w:tcBorders>
                                    <w:top w:val="single" w:sz="4" w:space="0" w:color="auto"/>
                                    <w:left w:val="nil"/>
                                    <w:right w:val="nil"/>
                                  </w:tcBorders>
                                  <w:shd w:val="clear" w:color="auto" w:fill="auto"/>
                                  <w:vAlign w:val="center"/>
                                  <w:hideMark/>
                                </w:tcPr>
                                <w:p w14:paraId="4C24C4A4" w14:textId="77777777" w:rsidR="00D36D98" w:rsidRPr="00733404" w:rsidRDefault="00D36D98" w:rsidP="00D36D98">
                                  <w:pPr>
                                    <w:rPr>
                                      <w:rFonts w:ascii="Arial" w:hAnsi="Arial" w:cs="Arial"/>
                                      <w:b/>
                                      <w:bCs/>
                                      <w:sz w:val="20"/>
                                    </w:rPr>
                                  </w:pPr>
                                  <w:r w:rsidRPr="00733404">
                                    <w:rPr>
                                      <w:rFonts w:ascii="Arial" w:hAnsi="Arial" w:cs="Arial"/>
                                      <w:b/>
                                      <w:bCs/>
                                      <w:sz w:val="20"/>
                                    </w:rPr>
                                    <w:t>Total Fund</w:t>
                                  </w:r>
                                </w:p>
                              </w:tc>
                              <w:tc>
                                <w:tcPr>
                                  <w:tcW w:w="1600" w:type="dxa"/>
                                  <w:tcBorders>
                                    <w:top w:val="single" w:sz="4" w:space="0" w:color="auto"/>
                                    <w:left w:val="nil"/>
                                    <w:right w:val="nil"/>
                                  </w:tcBorders>
                                  <w:shd w:val="clear" w:color="auto" w:fill="auto"/>
                                  <w:vAlign w:val="center"/>
                                  <w:hideMark/>
                                </w:tcPr>
                                <w:p w14:paraId="399897FA" w14:textId="77777777" w:rsidR="00D36D98" w:rsidRPr="00733404" w:rsidRDefault="00D36D98" w:rsidP="00D36D98">
                                  <w:pPr>
                                    <w:jc w:val="right"/>
                                    <w:rPr>
                                      <w:rFonts w:ascii="Arial" w:hAnsi="Arial" w:cs="Arial"/>
                                      <w:b/>
                                      <w:bCs/>
                                      <w:sz w:val="20"/>
                                    </w:rPr>
                                  </w:pPr>
                                  <w:r w:rsidRPr="00733404">
                                    <w:rPr>
                                      <w:rFonts w:ascii="Arial" w:hAnsi="Arial" w:cs="Arial"/>
                                      <w:b/>
                                      <w:bCs/>
                                      <w:sz w:val="20"/>
                                    </w:rPr>
                                    <w:t>$505,057,498.00</w:t>
                                  </w:r>
                                </w:p>
                              </w:tc>
                              <w:tc>
                                <w:tcPr>
                                  <w:tcW w:w="1160" w:type="dxa"/>
                                  <w:tcBorders>
                                    <w:top w:val="single" w:sz="4" w:space="0" w:color="auto"/>
                                    <w:left w:val="nil"/>
                                    <w:right w:val="nil"/>
                                  </w:tcBorders>
                                  <w:shd w:val="clear" w:color="auto" w:fill="auto"/>
                                  <w:vAlign w:val="center"/>
                                  <w:hideMark/>
                                </w:tcPr>
                                <w:p w14:paraId="2E0B27D7" w14:textId="77777777" w:rsidR="00D36D98" w:rsidRPr="00733404" w:rsidRDefault="00D36D98" w:rsidP="00D36D98">
                                  <w:pPr>
                                    <w:jc w:val="center"/>
                                    <w:rPr>
                                      <w:rFonts w:ascii="Arial" w:hAnsi="Arial" w:cs="Arial"/>
                                      <w:b/>
                                      <w:bCs/>
                                      <w:sz w:val="20"/>
                                    </w:rPr>
                                  </w:pPr>
                                  <w:r w:rsidRPr="00733404">
                                    <w:rPr>
                                      <w:rFonts w:ascii="Arial" w:hAnsi="Arial" w:cs="Arial"/>
                                      <w:b/>
                                      <w:bCs/>
                                      <w:sz w:val="20"/>
                                    </w:rPr>
                                    <w:t>100.00%</w:t>
                                  </w:r>
                                </w:p>
                              </w:tc>
                              <w:tc>
                                <w:tcPr>
                                  <w:tcW w:w="1160" w:type="dxa"/>
                                  <w:tcBorders>
                                    <w:top w:val="single" w:sz="4" w:space="0" w:color="auto"/>
                                    <w:left w:val="nil"/>
                                    <w:right w:val="nil"/>
                                  </w:tcBorders>
                                  <w:shd w:val="clear" w:color="auto" w:fill="auto"/>
                                  <w:noWrap/>
                                  <w:vAlign w:val="center"/>
                                  <w:hideMark/>
                                </w:tcPr>
                                <w:p w14:paraId="7D042AA9" w14:textId="77777777" w:rsidR="00D36D98" w:rsidRPr="00733404" w:rsidRDefault="00D36D98" w:rsidP="00D36D98">
                                  <w:pPr>
                                    <w:jc w:val="center"/>
                                    <w:rPr>
                                      <w:rFonts w:ascii="Arial" w:hAnsi="Arial" w:cs="Arial"/>
                                      <w:b/>
                                      <w:bCs/>
                                      <w:color w:val="000000"/>
                                      <w:sz w:val="20"/>
                                    </w:rPr>
                                  </w:pPr>
                                  <w:r w:rsidRPr="00733404">
                                    <w:rPr>
                                      <w:rFonts w:ascii="Arial" w:hAnsi="Arial" w:cs="Arial"/>
                                      <w:b/>
                                      <w:bCs/>
                                      <w:color w:val="000000"/>
                                      <w:sz w:val="20"/>
                                    </w:rPr>
                                    <w:t>12.55%</w:t>
                                  </w:r>
                                </w:p>
                              </w:tc>
                              <w:tc>
                                <w:tcPr>
                                  <w:tcW w:w="1160" w:type="dxa"/>
                                  <w:tcBorders>
                                    <w:top w:val="single" w:sz="4" w:space="0" w:color="auto"/>
                                    <w:left w:val="nil"/>
                                    <w:right w:val="nil"/>
                                  </w:tcBorders>
                                  <w:shd w:val="clear" w:color="auto" w:fill="auto"/>
                                  <w:noWrap/>
                                  <w:vAlign w:val="center"/>
                                  <w:hideMark/>
                                </w:tcPr>
                                <w:p w14:paraId="23E58125" w14:textId="77777777" w:rsidR="00D36D98" w:rsidRPr="00733404" w:rsidRDefault="00D36D98" w:rsidP="00D36D98">
                                  <w:pPr>
                                    <w:jc w:val="center"/>
                                    <w:rPr>
                                      <w:rFonts w:ascii="Arial" w:hAnsi="Arial" w:cs="Arial"/>
                                      <w:b/>
                                      <w:bCs/>
                                      <w:color w:val="000000"/>
                                      <w:sz w:val="20"/>
                                    </w:rPr>
                                  </w:pPr>
                                  <w:r w:rsidRPr="00733404">
                                    <w:rPr>
                                      <w:rFonts w:ascii="Arial" w:hAnsi="Arial" w:cs="Arial"/>
                                      <w:b/>
                                      <w:bCs/>
                                      <w:color w:val="000000"/>
                                      <w:sz w:val="20"/>
                                    </w:rPr>
                                    <w:t>15.04%</w:t>
                                  </w:r>
                                </w:p>
                              </w:tc>
                              <w:tc>
                                <w:tcPr>
                                  <w:tcW w:w="1160" w:type="dxa"/>
                                  <w:tcBorders>
                                    <w:top w:val="single" w:sz="4" w:space="0" w:color="auto"/>
                                    <w:left w:val="nil"/>
                                    <w:right w:val="nil"/>
                                  </w:tcBorders>
                                  <w:shd w:val="clear" w:color="auto" w:fill="auto"/>
                                  <w:noWrap/>
                                  <w:vAlign w:val="center"/>
                                  <w:hideMark/>
                                </w:tcPr>
                                <w:p w14:paraId="369823B6" w14:textId="77777777" w:rsidR="00D36D98" w:rsidRPr="00733404" w:rsidRDefault="00D36D98" w:rsidP="00D36D98">
                                  <w:pPr>
                                    <w:jc w:val="center"/>
                                    <w:rPr>
                                      <w:rFonts w:ascii="Arial" w:hAnsi="Arial" w:cs="Arial"/>
                                      <w:b/>
                                      <w:bCs/>
                                      <w:color w:val="000000"/>
                                      <w:sz w:val="20"/>
                                    </w:rPr>
                                  </w:pPr>
                                  <w:r w:rsidRPr="00733404">
                                    <w:rPr>
                                      <w:rFonts w:ascii="Arial" w:hAnsi="Arial" w:cs="Arial"/>
                                      <w:b/>
                                      <w:bCs/>
                                      <w:color w:val="000000"/>
                                      <w:sz w:val="20"/>
                                    </w:rPr>
                                    <w:t>11.14%</w:t>
                                  </w:r>
                                </w:p>
                              </w:tc>
                            </w:tr>
                            <w:tr w:rsidR="00D36D98" w:rsidRPr="00E34F67" w14:paraId="2AB2F631" w14:textId="77777777" w:rsidTr="00733404">
                              <w:trPr>
                                <w:trHeight w:val="240"/>
                              </w:trPr>
                              <w:tc>
                                <w:tcPr>
                                  <w:tcW w:w="3220" w:type="dxa"/>
                                  <w:tcBorders>
                                    <w:left w:val="nil"/>
                                    <w:bottom w:val="nil"/>
                                    <w:right w:val="nil"/>
                                  </w:tcBorders>
                                  <w:shd w:val="clear" w:color="auto" w:fill="auto"/>
                                  <w:hideMark/>
                                </w:tcPr>
                                <w:p w14:paraId="37CEFC04" w14:textId="77777777" w:rsidR="00D36D98" w:rsidRPr="00733404" w:rsidRDefault="00D36D98" w:rsidP="00D36D98">
                                  <w:pPr>
                                    <w:rPr>
                                      <w:rFonts w:ascii="Arial" w:hAnsi="Arial" w:cs="Arial"/>
                                      <w:sz w:val="20"/>
                                    </w:rPr>
                                  </w:pPr>
                                  <w:r w:rsidRPr="00733404">
                                    <w:rPr>
                                      <w:rFonts w:ascii="Arial" w:hAnsi="Arial" w:cs="Arial"/>
                                      <w:sz w:val="20"/>
                                    </w:rPr>
                                    <w:t xml:space="preserve">Target*   </w:t>
                                  </w:r>
                                </w:p>
                              </w:tc>
                              <w:tc>
                                <w:tcPr>
                                  <w:tcW w:w="1600" w:type="dxa"/>
                                  <w:tcBorders>
                                    <w:left w:val="nil"/>
                                    <w:bottom w:val="nil"/>
                                    <w:right w:val="nil"/>
                                  </w:tcBorders>
                                  <w:shd w:val="clear" w:color="auto" w:fill="auto"/>
                                  <w:hideMark/>
                                </w:tcPr>
                                <w:p w14:paraId="1AA6F448" w14:textId="77777777" w:rsidR="00D36D98" w:rsidRPr="00733404" w:rsidRDefault="00D36D98" w:rsidP="00D36D98">
                                  <w:pPr>
                                    <w:jc w:val="center"/>
                                    <w:rPr>
                                      <w:rFonts w:ascii="Arial" w:hAnsi="Arial" w:cs="Arial"/>
                                      <w:sz w:val="20"/>
                                    </w:rPr>
                                  </w:pPr>
                                  <w:r w:rsidRPr="00733404">
                                    <w:rPr>
                                      <w:rFonts w:ascii="Arial" w:hAnsi="Arial" w:cs="Arial"/>
                                      <w:sz w:val="20"/>
                                    </w:rPr>
                                    <w:t>-</w:t>
                                  </w:r>
                                </w:p>
                              </w:tc>
                              <w:tc>
                                <w:tcPr>
                                  <w:tcW w:w="1160" w:type="dxa"/>
                                  <w:tcBorders>
                                    <w:left w:val="nil"/>
                                    <w:bottom w:val="nil"/>
                                    <w:right w:val="nil"/>
                                  </w:tcBorders>
                                  <w:shd w:val="clear" w:color="auto" w:fill="auto"/>
                                  <w:hideMark/>
                                </w:tcPr>
                                <w:p w14:paraId="11F624EF" w14:textId="77777777" w:rsidR="00D36D98" w:rsidRPr="00733404" w:rsidRDefault="00D36D98" w:rsidP="00D36D98">
                                  <w:pPr>
                                    <w:jc w:val="center"/>
                                    <w:rPr>
                                      <w:rFonts w:ascii="Arial" w:hAnsi="Arial" w:cs="Arial"/>
                                      <w:sz w:val="20"/>
                                    </w:rPr>
                                  </w:pPr>
                                  <w:r w:rsidRPr="00733404">
                                    <w:rPr>
                                      <w:rFonts w:ascii="Arial" w:hAnsi="Arial" w:cs="Arial"/>
                                      <w:sz w:val="20"/>
                                    </w:rPr>
                                    <w:t>-</w:t>
                                  </w:r>
                                </w:p>
                              </w:tc>
                              <w:tc>
                                <w:tcPr>
                                  <w:tcW w:w="1160" w:type="dxa"/>
                                  <w:tcBorders>
                                    <w:left w:val="nil"/>
                                    <w:bottom w:val="nil"/>
                                    <w:right w:val="nil"/>
                                  </w:tcBorders>
                                  <w:shd w:val="clear" w:color="auto" w:fill="auto"/>
                                  <w:noWrap/>
                                  <w:hideMark/>
                                </w:tcPr>
                                <w:p w14:paraId="2AF38FD6" w14:textId="77777777" w:rsidR="00D36D98" w:rsidRPr="00733404" w:rsidRDefault="00D36D98" w:rsidP="00D36D98">
                                  <w:pPr>
                                    <w:jc w:val="center"/>
                                    <w:rPr>
                                      <w:rFonts w:ascii="Arial" w:hAnsi="Arial" w:cs="Arial"/>
                                      <w:color w:val="000000"/>
                                      <w:sz w:val="20"/>
                                    </w:rPr>
                                  </w:pPr>
                                  <w:r w:rsidRPr="00733404">
                                    <w:rPr>
                                      <w:rFonts w:ascii="Arial" w:hAnsi="Arial" w:cs="Arial"/>
                                      <w:color w:val="000000"/>
                                      <w:sz w:val="20"/>
                                    </w:rPr>
                                    <w:t>10.80%</w:t>
                                  </w:r>
                                </w:p>
                              </w:tc>
                              <w:tc>
                                <w:tcPr>
                                  <w:tcW w:w="1160" w:type="dxa"/>
                                  <w:tcBorders>
                                    <w:left w:val="nil"/>
                                    <w:bottom w:val="nil"/>
                                    <w:right w:val="nil"/>
                                  </w:tcBorders>
                                  <w:shd w:val="clear" w:color="auto" w:fill="auto"/>
                                  <w:noWrap/>
                                  <w:hideMark/>
                                </w:tcPr>
                                <w:p w14:paraId="5CE1C242" w14:textId="77777777" w:rsidR="00D36D98" w:rsidRPr="00733404" w:rsidRDefault="00D36D98" w:rsidP="00D36D98">
                                  <w:pPr>
                                    <w:jc w:val="center"/>
                                    <w:rPr>
                                      <w:rFonts w:ascii="Arial" w:hAnsi="Arial" w:cs="Arial"/>
                                      <w:color w:val="000000"/>
                                      <w:sz w:val="20"/>
                                    </w:rPr>
                                  </w:pPr>
                                  <w:r w:rsidRPr="00733404">
                                    <w:rPr>
                                      <w:rFonts w:ascii="Arial" w:hAnsi="Arial" w:cs="Arial"/>
                                      <w:color w:val="000000"/>
                                      <w:sz w:val="20"/>
                                    </w:rPr>
                                    <w:t>14.00%</w:t>
                                  </w:r>
                                </w:p>
                              </w:tc>
                              <w:tc>
                                <w:tcPr>
                                  <w:tcW w:w="1160" w:type="dxa"/>
                                  <w:tcBorders>
                                    <w:left w:val="nil"/>
                                    <w:bottom w:val="nil"/>
                                    <w:right w:val="nil"/>
                                  </w:tcBorders>
                                  <w:shd w:val="clear" w:color="auto" w:fill="auto"/>
                                  <w:noWrap/>
                                  <w:hideMark/>
                                </w:tcPr>
                                <w:p w14:paraId="5BE63CAF" w14:textId="77777777" w:rsidR="00D36D98" w:rsidRPr="00733404" w:rsidRDefault="00D36D98" w:rsidP="00D36D98">
                                  <w:pPr>
                                    <w:jc w:val="center"/>
                                    <w:rPr>
                                      <w:rFonts w:ascii="Arial" w:hAnsi="Arial" w:cs="Arial"/>
                                      <w:color w:val="000000"/>
                                      <w:sz w:val="20"/>
                                    </w:rPr>
                                  </w:pPr>
                                  <w:r w:rsidRPr="00733404">
                                    <w:rPr>
                                      <w:rFonts w:ascii="Arial" w:hAnsi="Arial" w:cs="Arial"/>
                                      <w:color w:val="000000"/>
                                      <w:sz w:val="20"/>
                                    </w:rPr>
                                    <w:t>10.81%</w:t>
                                  </w:r>
                                </w:p>
                              </w:tc>
                            </w:tr>
                            <w:tr w:rsidR="00D36D98" w:rsidRPr="00E34F67" w14:paraId="4D71F9C4" w14:textId="77777777" w:rsidTr="00D36D98">
                              <w:trPr>
                                <w:trHeight w:val="240"/>
                              </w:trPr>
                              <w:tc>
                                <w:tcPr>
                                  <w:tcW w:w="3220" w:type="dxa"/>
                                  <w:tcBorders>
                                    <w:top w:val="nil"/>
                                    <w:left w:val="nil"/>
                                    <w:bottom w:val="nil"/>
                                    <w:right w:val="nil"/>
                                  </w:tcBorders>
                                  <w:shd w:val="clear" w:color="auto" w:fill="auto"/>
                                  <w:hideMark/>
                                </w:tcPr>
                                <w:p w14:paraId="2E9B8FDE" w14:textId="551CE0EC" w:rsidR="00D36D98" w:rsidRPr="00733404" w:rsidRDefault="00D36D98" w:rsidP="00D36D98">
                                  <w:pPr>
                                    <w:rPr>
                                      <w:rFonts w:ascii="Arial" w:hAnsi="Arial" w:cs="Arial"/>
                                      <w:sz w:val="20"/>
                                    </w:rPr>
                                  </w:pPr>
                                  <w:r w:rsidRPr="00733404">
                                    <w:rPr>
                                      <w:rFonts w:ascii="Arial" w:hAnsi="Arial" w:cs="Arial"/>
                                      <w:sz w:val="20"/>
                                    </w:rPr>
                                    <w:t xml:space="preserve">5.50% Actuarial Assumption </w:t>
                                  </w:r>
                                </w:p>
                              </w:tc>
                              <w:tc>
                                <w:tcPr>
                                  <w:tcW w:w="1600" w:type="dxa"/>
                                  <w:tcBorders>
                                    <w:top w:val="nil"/>
                                    <w:left w:val="nil"/>
                                    <w:bottom w:val="nil"/>
                                    <w:right w:val="nil"/>
                                  </w:tcBorders>
                                  <w:shd w:val="clear" w:color="auto" w:fill="auto"/>
                                  <w:hideMark/>
                                </w:tcPr>
                                <w:p w14:paraId="20EAF7DD" w14:textId="77777777" w:rsidR="00D36D98" w:rsidRPr="00733404" w:rsidRDefault="00D36D98" w:rsidP="00D36D98">
                                  <w:pPr>
                                    <w:jc w:val="center"/>
                                    <w:rPr>
                                      <w:rFonts w:ascii="Arial" w:hAnsi="Arial" w:cs="Arial"/>
                                      <w:sz w:val="20"/>
                                    </w:rPr>
                                  </w:pPr>
                                  <w:r w:rsidRPr="00733404">
                                    <w:rPr>
                                      <w:rFonts w:ascii="Arial" w:hAnsi="Arial" w:cs="Arial"/>
                                      <w:sz w:val="20"/>
                                    </w:rPr>
                                    <w:t>-</w:t>
                                  </w:r>
                                </w:p>
                              </w:tc>
                              <w:tc>
                                <w:tcPr>
                                  <w:tcW w:w="1160" w:type="dxa"/>
                                  <w:tcBorders>
                                    <w:top w:val="nil"/>
                                    <w:left w:val="nil"/>
                                    <w:bottom w:val="nil"/>
                                    <w:right w:val="nil"/>
                                  </w:tcBorders>
                                  <w:shd w:val="clear" w:color="auto" w:fill="auto"/>
                                  <w:hideMark/>
                                </w:tcPr>
                                <w:p w14:paraId="7133A64F" w14:textId="77777777" w:rsidR="00D36D98" w:rsidRPr="00733404" w:rsidRDefault="00D36D98" w:rsidP="00D36D98">
                                  <w:pPr>
                                    <w:jc w:val="center"/>
                                    <w:rPr>
                                      <w:rFonts w:ascii="Arial" w:hAnsi="Arial" w:cs="Arial"/>
                                      <w:sz w:val="20"/>
                                    </w:rPr>
                                  </w:pPr>
                                  <w:r w:rsidRPr="00733404">
                                    <w:rPr>
                                      <w:rFonts w:ascii="Arial" w:hAnsi="Arial" w:cs="Arial"/>
                                      <w:sz w:val="20"/>
                                    </w:rPr>
                                    <w:t>-</w:t>
                                  </w:r>
                                </w:p>
                              </w:tc>
                              <w:tc>
                                <w:tcPr>
                                  <w:tcW w:w="1160" w:type="dxa"/>
                                  <w:tcBorders>
                                    <w:top w:val="nil"/>
                                    <w:left w:val="nil"/>
                                    <w:bottom w:val="nil"/>
                                    <w:right w:val="nil"/>
                                  </w:tcBorders>
                                  <w:shd w:val="clear" w:color="auto" w:fill="auto"/>
                                  <w:noWrap/>
                                  <w:hideMark/>
                                </w:tcPr>
                                <w:p w14:paraId="65801A69" w14:textId="77777777" w:rsidR="00D36D98" w:rsidRPr="00733404" w:rsidRDefault="00D36D98" w:rsidP="00D36D98">
                                  <w:pPr>
                                    <w:jc w:val="center"/>
                                    <w:rPr>
                                      <w:rFonts w:ascii="Arial" w:hAnsi="Arial" w:cs="Arial"/>
                                      <w:color w:val="000000"/>
                                      <w:sz w:val="20"/>
                                    </w:rPr>
                                  </w:pPr>
                                  <w:r w:rsidRPr="00733404">
                                    <w:rPr>
                                      <w:rFonts w:ascii="Arial" w:hAnsi="Arial" w:cs="Arial"/>
                                      <w:color w:val="000000"/>
                                      <w:sz w:val="20"/>
                                    </w:rPr>
                                    <w:t>5.50%</w:t>
                                  </w:r>
                                </w:p>
                              </w:tc>
                              <w:tc>
                                <w:tcPr>
                                  <w:tcW w:w="1160" w:type="dxa"/>
                                  <w:tcBorders>
                                    <w:top w:val="nil"/>
                                    <w:left w:val="nil"/>
                                    <w:bottom w:val="nil"/>
                                    <w:right w:val="nil"/>
                                  </w:tcBorders>
                                  <w:shd w:val="clear" w:color="auto" w:fill="auto"/>
                                  <w:noWrap/>
                                  <w:hideMark/>
                                </w:tcPr>
                                <w:p w14:paraId="7E8215C4" w14:textId="77777777" w:rsidR="00D36D98" w:rsidRPr="00733404" w:rsidRDefault="00D36D98" w:rsidP="00D36D98">
                                  <w:pPr>
                                    <w:jc w:val="center"/>
                                    <w:rPr>
                                      <w:rFonts w:ascii="Arial" w:hAnsi="Arial" w:cs="Arial"/>
                                      <w:color w:val="000000"/>
                                      <w:sz w:val="20"/>
                                    </w:rPr>
                                  </w:pPr>
                                  <w:r w:rsidRPr="00733404">
                                    <w:rPr>
                                      <w:rFonts w:ascii="Arial" w:hAnsi="Arial" w:cs="Arial"/>
                                      <w:color w:val="000000"/>
                                      <w:sz w:val="20"/>
                                    </w:rPr>
                                    <w:t>5.67%</w:t>
                                  </w:r>
                                </w:p>
                              </w:tc>
                              <w:tc>
                                <w:tcPr>
                                  <w:tcW w:w="1160" w:type="dxa"/>
                                  <w:tcBorders>
                                    <w:top w:val="nil"/>
                                    <w:left w:val="nil"/>
                                    <w:bottom w:val="nil"/>
                                    <w:right w:val="nil"/>
                                  </w:tcBorders>
                                  <w:shd w:val="clear" w:color="auto" w:fill="auto"/>
                                  <w:noWrap/>
                                  <w:hideMark/>
                                </w:tcPr>
                                <w:p w14:paraId="5F8A086C" w14:textId="77777777" w:rsidR="00D36D98" w:rsidRPr="00733404" w:rsidRDefault="00D36D98" w:rsidP="00D36D98">
                                  <w:pPr>
                                    <w:jc w:val="center"/>
                                    <w:rPr>
                                      <w:rFonts w:ascii="Arial" w:hAnsi="Arial" w:cs="Arial"/>
                                      <w:color w:val="000000"/>
                                      <w:sz w:val="20"/>
                                    </w:rPr>
                                  </w:pPr>
                                  <w:r w:rsidRPr="00733404">
                                    <w:rPr>
                                      <w:rFonts w:ascii="Arial" w:hAnsi="Arial" w:cs="Arial"/>
                                      <w:color w:val="000000"/>
                                      <w:sz w:val="20"/>
                                    </w:rPr>
                                    <w:t>5.94%</w:t>
                                  </w:r>
                                </w:p>
                              </w:tc>
                            </w:tr>
                            <w:tr w:rsidR="00D36D98" w:rsidRPr="00E34F67" w14:paraId="638E95EF" w14:textId="77777777" w:rsidTr="00D36D98">
                              <w:trPr>
                                <w:trHeight w:val="240"/>
                              </w:trPr>
                              <w:tc>
                                <w:tcPr>
                                  <w:tcW w:w="3220" w:type="dxa"/>
                                  <w:tcBorders>
                                    <w:top w:val="nil"/>
                                    <w:left w:val="nil"/>
                                    <w:bottom w:val="nil"/>
                                    <w:right w:val="nil"/>
                                  </w:tcBorders>
                                  <w:shd w:val="clear" w:color="auto" w:fill="auto"/>
                                  <w:hideMark/>
                                </w:tcPr>
                                <w:p w14:paraId="2887A893" w14:textId="77777777" w:rsidR="00D36D98" w:rsidRPr="00733404" w:rsidRDefault="00D36D98" w:rsidP="00D36D98">
                                  <w:pPr>
                                    <w:rPr>
                                      <w:rFonts w:ascii="Arial" w:hAnsi="Arial" w:cs="Arial"/>
                                      <w:sz w:val="20"/>
                                    </w:rPr>
                                  </w:pPr>
                                  <w:r w:rsidRPr="00733404">
                                    <w:rPr>
                                      <w:rFonts w:ascii="Arial" w:hAnsi="Arial" w:cs="Arial"/>
                                      <w:sz w:val="20"/>
                                    </w:rPr>
                                    <w:t xml:space="preserve">Callan Public Fund </w:t>
                                  </w:r>
                                  <w:proofErr w:type="spellStart"/>
                                  <w:r w:rsidRPr="00733404">
                                    <w:rPr>
                                      <w:rFonts w:ascii="Arial" w:hAnsi="Arial" w:cs="Arial"/>
                                      <w:sz w:val="20"/>
                                    </w:rPr>
                                    <w:t>Spr</w:t>
                                  </w:r>
                                  <w:proofErr w:type="spellEnd"/>
                                  <w:r w:rsidRPr="00733404">
                                    <w:rPr>
                                      <w:rFonts w:ascii="Arial" w:hAnsi="Arial" w:cs="Arial"/>
                                      <w:sz w:val="20"/>
                                    </w:rPr>
                                    <w:t xml:space="preserve"> DB  </w:t>
                                  </w:r>
                                </w:p>
                              </w:tc>
                              <w:tc>
                                <w:tcPr>
                                  <w:tcW w:w="1600" w:type="dxa"/>
                                  <w:tcBorders>
                                    <w:top w:val="nil"/>
                                    <w:left w:val="nil"/>
                                    <w:bottom w:val="nil"/>
                                    <w:right w:val="nil"/>
                                  </w:tcBorders>
                                  <w:shd w:val="clear" w:color="auto" w:fill="auto"/>
                                  <w:hideMark/>
                                </w:tcPr>
                                <w:p w14:paraId="775AD71B" w14:textId="77777777" w:rsidR="00D36D98" w:rsidRPr="00733404" w:rsidRDefault="00D36D98" w:rsidP="00D36D98">
                                  <w:pPr>
                                    <w:jc w:val="center"/>
                                    <w:rPr>
                                      <w:rFonts w:ascii="Arial" w:hAnsi="Arial" w:cs="Arial"/>
                                      <w:sz w:val="20"/>
                                    </w:rPr>
                                  </w:pPr>
                                  <w:r w:rsidRPr="00733404">
                                    <w:rPr>
                                      <w:rFonts w:ascii="Arial" w:hAnsi="Arial" w:cs="Arial"/>
                                      <w:sz w:val="20"/>
                                    </w:rPr>
                                    <w:t>-</w:t>
                                  </w:r>
                                </w:p>
                              </w:tc>
                              <w:tc>
                                <w:tcPr>
                                  <w:tcW w:w="1160" w:type="dxa"/>
                                  <w:tcBorders>
                                    <w:top w:val="nil"/>
                                    <w:left w:val="nil"/>
                                    <w:bottom w:val="nil"/>
                                    <w:right w:val="nil"/>
                                  </w:tcBorders>
                                  <w:shd w:val="clear" w:color="auto" w:fill="auto"/>
                                  <w:hideMark/>
                                </w:tcPr>
                                <w:p w14:paraId="72FB207D" w14:textId="77777777" w:rsidR="00D36D98" w:rsidRPr="00733404" w:rsidRDefault="00D36D98" w:rsidP="00D36D98">
                                  <w:pPr>
                                    <w:jc w:val="center"/>
                                    <w:rPr>
                                      <w:rFonts w:ascii="Arial" w:hAnsi="Arial" w:cs="Arial"/>
                                      <w:sz w:val="20"/>
                                    </w:rPr>
                                  </w:pPr>
                                  <w:r w:rsidRPr="00733404">
                                    <w:rPr>
                                      <w:rFonts w:ascii="Arial" w:hAnsi="Arial" w:cs="Arial"/>
                                      <w:sz w:val="20"/>
                                    </w:rPr>
                                    <w:t>-</w:t>
                                  </w:r>
                                </w:p>
                              </w:tc>
                              <w:tc>
                                <w:tcPr>
                                  <w:tcW w:w="1160" w:type="dxa"/>
                                  <w:tcBorders>
                                    <w:top w:val="nil"/>
                                    <w:left w:val="nil"/>
                                    <w:bottom w:val="nil"/>
                                    <w:right w:val="nil"/>
                                  </w:tcBorders>
                                  <w:shd w:val="clear" w:color="auto" w:fill="auto"/>
                                  <w:noWrap/>
                                  <w:hideMark/>
                                </w:tcPr>
                                <w:p w14:paraId="271A5B04" w14:textId="77777777" w:rsidR="00D36D98" w:rsidRPr="00733404" w:rsidRDefault="00D36D98" w:rsidP="00D36D98">
                                  <w:pPr>
                                    <w:jc w:val="center"/>
                                    <w:rPr>
                                      <w:rFonts w:ascii="Arial" w:hAnsi="Arial" w:cs="Arial"/>
                                      <w:color w:val="000000"/>
                                      <w:sz w:val="20"/>
                                    </w:rPr>
                                  </w:pPr>
                                  <w:r w:rsidRPr="00733404">
                                    <w:rPr>
                                      <w:rFonts w:ascii="Arial" w:hAnsi="Arial" w:cs="Arial"/>
                                      <w:color w:val="000000"/>
                                      <w:sz w:val="20"/>
                                    </w:rPr>
                                    <w:t>13.72%</w:t>
                                  </w:r>
                                </w:p>
                              </w:tc>
                              <w:tc>
                                <w:tcPr>
                                  <w:tcW w:w="1160" w:type="dxa"/>
                                  <w:tcBorders>
                                    <w:top w:val="nil"/>
                                    <w:left w:val="nil"/>
                                    <w:bottom w:val="nil"/>
                                    <w:right w:val="nil"/>
                                  </w:tcBorders>
                                  <w:shd w:val="clear" w:color="auto" w:fill="auto"/>
                                  <w:noWrap/>
                                  <w:hideMark/>
                                </w:tcPr>
                                <w:p w14:paraId="392268D1" w14:textId="77777777" w:rsidR="00D36D98" w:rsidRPr="00733404" w:rsidRDefault="00D36D98" w:rsidP="00D36D98">
                                  <w:pPr>
                                    <w:jc w:val="center"/>
                                    <w:rPr>
                                      <w:rFonts w:ascii="Arial" w:hAnsi="Arial" w:cs="Arial"/>
                                      <w:color w:val="000000"/>
                                      <w:sz w:val="20"/>
                                    </w:rPr>
                                  </w:pPr>
                                  <w:r w:rsidRPr="00733404">
                                    <w:rPr>
                                      <w:rFonts w:ascii="Arial" w:hAnsi="Arial" w:cs="Arial"/>
                                      <w:color w:val="000000"/>
                                      <w:sz w:val="20"/>
                                    </w:rPr>
                                    <w:t>14.82%</w:t>
                                  </w:r>
                                </w:p>
                              </w:tc>
                              <w:tc>
                                <w:tcPr>
                                  <w:tcW w:w="1160" w:type="dxa"/>
                                  <w:tcBorders>
                                    <w:top w:val="nil"/>
                                    <w:left w:val="nil"/>
                                    <w:bottom w:val="nil"/>
                                    <w:right w:val="nil"/>
                                  </w:tcBorders>
                                  <w:shd w:val="clear" w:color="auto" w:fill="auto"/>
                                  <w:noWrap/>
                                  <w:hideMark/>
                                </w:tcPr>
                                <w:p w14:paraId="781BF4E3" w14:textId="77777777" w:rsidR="00D36D98" w:rsidRPr="00733404" w:rsidRDefault="00D36D98" w:rsidP="00D36D98">
                                  <w:pPr>
                                    <w:jc w:val="center"/>
                                    <w:rPr>
                                      <w:rFonts w:ascii="Arial" w:hAnsi="Arial" w:cs="Arial"/>
                                      <w:color w:val="000000"/>
                                      <w:sz w:val="20"/>
                                    </w:rPr>
                                  </w:pPr>
                                  <w:r w:rsidRPr="00733404">
                                    <w:rPr>
                                      <w:rFonts w:ascii="Arial" w:hAnsi="Arial" w:cs="Arial"/>
                                      <w:color w:val="000000"/>
                                      <w:sz w:val="20"/>
                                    </w:rPr>
                                    <w:t>10.89%</w:t>
                                  </w:r>
                                </w:p>
                              </w:tc>
                            </w:tr>
                          </w:tbl>
                          <w:p w14:paraId="5F50C304" w14:textId="77777777" w:rsidR="00967012" w:rsidRPr="00733404" w:rsidRDefault="00967012">
                            <w:pPr>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6E7DC7" id="Text Box 7" o:spid="_x0000_s1027" type="#_x0000_t202" style="position:absolute;left:0;text-align:left;margin-left:425.8pt;margin-top:95.25pt;width:477pt;height:345pt;z-index:251653632;visibility:visible;mso-wrap-style:square;mso-width-percent:0;mso-height-percent:0;mso-wrap-distance-left:0;mso-wrap-distance-top:0;mso-wrap-distance-right:0;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" filled="f" stroked="f">
                <v:textbox inset="0,0,0,0">
                  <w:txbxContent>
                    <w:tbl>
                      <w:tblPr>
                        <w:tblW w:w="9460" w:type="dxa"/>
                        <w:tblLook w:val="04A0" w:firstRow="1" w:lastRow="0" w:firstColumn="1" w:lastColumn="0" w:noHBand="0" w:noVBand="1"/>
                      </w:tblPr>
                      <w:tblGrid>
                        <w:gridCol w:w="3102"/>
                        <w:gridCol w:w="1718"/>
                        <w:gridCol w:w="1160"/>
                        <w:gridCol w:w="1160"/>
                        <w:gridCol w:w="1160"/>
                        <w:gridCol w:w="1160"/>
                      </w:tblGrid>
                      <w:tr w:rsidR="00D36D98" w:rsidRPr="00E34F67" w14:paraId="31F046B9" w14:textId="77777777" w:rsidTr="00D36D98">
                        <w:trPr>
                          <w:trHeight w:val="240"/>
                        </w:trPr>
                        <w:tc>
                          <w:tcPr>
                            <w:tcW w:w="3220" w:type="dxa"/>
                            <w:tcBorders>
                              <w:top w:val="nil"/>
                              <w:left w:val="nil"/>
                              <w:bottom w:val="nil"/>
                              <w:right w:val="nil"/>
                            </w:tcBorders>
                            <w:shd w:val="clear" w:color="auto" w:fill="auto"/>
                            <w:hideMark/>
                          </w:tcPr>
                          <w:p w14:paraId="771CD334" w14:textId="77777777" w:rsidR="00D36D98" w:rsidRPr="00733404" w:rsidRDefault="00D36D98" w:rsidP="00D36D98">
                            <w:pPr>
                              <w:rPr>
                                <w:sz w:val="20"/>
                              </w:rPr>
                            </w:pPr>
                          </w:p>
                        </w:tc>
                        <w:tc>
                          <w:tcPr>
                            <w:tcW w:w="1600" w:type="dxa"/>
                            <w:tcBorders>
                              <w:top w:val="nil"/>
                              <w:left w:val="nil"/>
                              <w:bottom w:val="nil"/>
                              <w:right w:val="nil"/>
                            </w:tcBorders>
                            <w:shd w:val="clear" w:color="auto" w:fill="auto"/>
                            <w:hideMark/>
                          </w:tcPr>
                          <w:p w14:paraId="27DF7398" w14:textId="77777777" w:rsidR="00D36D98" w:rsidRPr="00733404" w:rsidRDefault="00D36D98" w:rsidP="00D36D98">
                            <w:pPr>
                              <w:jc w:val="center"/>
                              <w:rPr>
                                <w:rFonts w:ascii="Arial" w:hAnsi="Arial" w:cs="Arial"/>
                                <w:b/>
                                <w:bCs/>
                                <w:sz w:val="20"/>
                              </w:rPr>
                            </w:pPr>
                            <w:r w:rsidRPr="00733404">
                              <w:rPr>
                                <w:rFonts w:ascii="Arial" w:hAnsi="Arial" w:cs="Arial"/>
                                <w:b/>
                                <w:bCs/>
                                <w:sz w:val="20"/>
                              </w:rPr>
                              <w:t>Market</w:t>
                            </w:r>
                            <w:r w:rsidRPr="00733404">
                              <w:rPr>
                                <w:rFonts w:ascii="Arial" w:hAnsi="Arial" w:cs="Arial"/>
                                <w:b/>
                                <w:bCs/>
                                <w:sz w:val="20"/>
                              </w:rPr>
                              <w:br/>
                              <w:t>Value</w:t>
                            </w:r>
                          </w:p>
                        </w:tc>
                        <w:tc>
                          <w:tcPr>
                            <w:tcW w:w="1160" w:type="dxa"/>
                            <w:tcBorders>
                              <w:top w:val="nil"/>
                              <w:left w:val="nil"/>
                              <w:bottom w:val="nil"/>
                              <w:right w:val="nil"/>
                            </w:tcBorders>
                            <w:shd w:val="clear" w:color="auto" w:fill="auto"/>
                            <w:vAlign w:val="center"/>
                            <w:hideMark/>
                          </w:tcPr>
                          <w:p w14:paraId="426251E1" w14:textId="77777777" w:rsidR="00D36D98" w:rsidRPr="00733404" w:rsidRDefault="00D36D98" w:rsidP="00D36D98">
                            <w:pPr>
                              <w:jc w:val="center"/>
                              <w:rPr>
                                <w:rFonts w:ascii="Arial" w:hAnsi="Arial" w:cs="Arial"/>
                                <w:b/>
                                <w:bCs/>
                                <w:sz w:val="20"/>
                              </w:rPr>
                            </w:pPr>
                            <w:r w:rsidRPr="00733404">
                              <w:rPr>
                                <w:rFonts w:ascii="Arial" w:hAnsi="Arial" w:cs="Arial"/>
                                <w:b/>
                                <w:bCs/>
                                <w:sz w:val="20"/>
                              </w:rPr>
                              <w:t>Ending</w:t>
                            </w:r>
                          </w:p>
                        </w:tc>
                        <w:tc>
                          <w:tcPr>
                            <w:tcW w:w="1160" w:type="dxa"/>
                            <w:tcBorders>
                              <w:top w:val="nil"/>
                              <w:left w:val="nil"/>
                              <w:bottom w:val="nil"/>
                              <w:right w:val="nil"/>
                            </w:tcBorders>
                            <w:shd w:val="clear" w:color="auto" w:fill="auto"/>
                            <w:vAlign w:val="center"/>
                            <w:hideMark/>
                          </w:tcPr>
                          <w:p w14:paraId="50EBFF67" w14:textId="77777777" w:rsidR="00D36D98" w:rsidRPr="00733404" w:rsidRDefault="00D36D98" w:rsidP="00D36D98">
                            <w:pPr>
                              <w:jc w:val="center"/>
                              <w:rPr>
                                <w:rFonts w:ascii="Arial" w:hAnsi="Arial" w:cs="Arial"/>
                                <w:b/>
                                <w:bCs/>
                                <w:sz w:val="20"/>
                              </w:rPr>
                            </w:pPr>
                            <w:r w:rsidRPr="00733404">
                              <w:rPr>
                                <w:rFonts w:ascii="Arial" w:hAnsi="Arial" w:cs="Arial"/>
                                <w:b/>
                                <w:bCs/>
                                <w:sz w:val="20"/>
                              </w:rPr>
                              <w:t>Last</w:t>
                            </w:r>
                          </w:p>
                        </w:tc>
                        <w:tc>
                          <w:tcPr>
                            <w:tcW w:w="1160" w:type="dxa"/>
                            <w:tcBorders>
                              <w:top w:val="nil"/>
                              <w:left w:val="nil"/>
                              <w:bottom w:val="nil"/>
                              <w:right w:val="nil"/>
                            </w:tcBorders>
                            <w:shd w:val="clear" w:color="auto" w:fill="auto"/>
                            <w:vAlign w:val="center"/>
                            <w:hideMark/>
                          </w:tcPr>
                          <w:p w14:paraId="08B1E405" w14:textId="77777777" w:rsidR="00D36D98" w:rsidRPr="00733404" w:rsidRDefault="00D36D98" w:rsidP="00D36D98">
                            <w:pPr>
                              <w:jc w:val="center"/>
                              <w:rPr>
                                <w:rFonts w:ascii="Arial" w:hAnsi="Arial" w:cs="Arial"/>
                                <w:b/>
                                <w:bCs/>
                                <w:sz w:val="20"/>
                              </w:rPr>
                            </w:pPr>
                            <w:r w:rsidRPr="00733404">
                              <w:rPr>
                                <w:rFonts w:ascii="Arial" w:hAnsi="Arial" w:cs="Arial"/>
                                <w:b/>
                                <w:bCs/>
                                <w:sz w:val="20"/>
                              </w:rPr>
                              <w:t>Last 3</w:t>
                            </w:r>
                          </w:p>
                        </w:tc>
                        <w:tc>
                          <w:tcPr>
                            <w:tcW w:w="1160" w:type="dxa"/>
                            <w:tcBorders>
                              <w:top w:val="nil"/>
                              <w:left w:val="nil"/>
                              <w:bottom w:val="nil"/>
                              <w:right w:val="nil"/>
                            </w:tcBorders>
                            <w:shd w:val="clear" w:color="auto" w:fill="auto"/>
                            <w:vAlign w:val="center"/>
                            <w:hideMark/>
                          </w:tcPr>
                          <w:p w14:paraId="2B853FE0" w14:textId="77777777" w:rsidR="00D36D98" w:rsidRPr="00733404" w:rsidRDefault="00D36D98" w:rsidP="00D36D98">
                            <w:pPr>
                              <w:jc w:val="center"/>
                              <w:rPr>
                                <w:rFonts w:ascii="Arial" w:hAnsi="Arial" w:cs="Arial"/>
                                <w:b/>
                                <w:bCs/>
                                <w:sz w:val="20"/>
                              </w:rPr>
                            </w:pPr>
                            <w:r w:rsidRPr="00733404">
                              <w:rPr>
                                <w:rFonts w:ascii="Arial" w:hAnsi="Arial" w:cs="Arial"/>
                                <w:b/>
                                <w:bCs/>
                                <w:sz w:val="20"/>
                              </w:rPr>
                              <w:t>Last 5</w:t>
                            </w:r>
                          </w:p>
                        </w:tc>
                      </w:tr>
                      <w:tr w:rsidR="00D36D98" w:rsidRPr="00E34F67" w14:paraId="332A049C" w14:textId="77777777" w:rsidTr="00D36D98">
                        <w:trPr>
                          <w:trHeight w:val="240"/>
                        </w:trPr>
                        <w:tc>
                          <w:tcPr>
                            <w:tcW w:w="3220" w:type="dxa"/>
                            <w:tcBorders>
                              <w:top w:val="nil"/>
                              <w:left w:val="nil"/>
                              <w:bottom w:val="single" w:sz="4" w:space="0" w:color="000000"/>
                              <w:right w:val="nil"/>
                            </w:tcBorders>
                            <w:shd w:val="clear" w:color="auto" w:fill="auto"/>
                            <w:hideMark/>
                          </w:tcPr>
                          <w:p w14:paraId="69D5F295" w14:textId="77777777" w:rsidR="00D36D98" w:rsidRPr="00733404" w:rsidRDefault="00D36D98" w:rsidP="00D36D98">
                            <w:pPr>
                              <w:rPr>
                                <w:rFonts w:ascii="Arial" w:hAnsi="Arial" w:cs="Arial"/>
                                <w:b/>
                                <w:bCs/>
                                <w:sz w:val="20"/>
                              </w:rPr>
                            </w:pPr>
                            <w:r w:rsidRPr="00733404">
                              <w:rPr>
                                <w:rFonts w:ascii="Arial" w:hAnsi="Arial" w:cs="Arial"/>
                                <w:b/>
                                <w:bCs/>
                                <w:sz w:val="20"/>
                              </w:rPr>
                              <w:t> </w:t>
                            </w:r>
                          </w:p>
                        </w:tc>
                        <w:tc>
                          <w:tcPr>
                            <w:tcW w:w="1600" w:type="dxa"/>
                            <w:tcBorders>
                              <w:top w:val="nil"/>
                              <w:left w:val="nil"/>
                              <w:bottom w:val="single" w:sz="4" w:space="0" w:color="000000"/>
                              <w:right w:val="nil"/>
                            </w:tcBorders>
                            <w:shd w:val="clear" w:color="auto" w:fill="auto"/>
                            <w:hideMark/>
                          </w:tcPr>
                          <w:p w14:paraId="4FC833FE" w14:textId="3ABF90F5" w:rsidR="00D36D98" w:rsidRPr="00733404" w:rsidRDefault="00D36D98" w:rsidP="00D36D98">
                            <w:pPr>
                              <w:jc w:val="center"/>
                              <w:rPr>
                                <w:rFonts w:ascii="Arial" w:hAnsi="Arial" w:cs="Arial"/>
                                <w:b/>
                                <w:bCs/>
                                <w:sz w:val="20"/>
                              </w:rPr>
                            </w:pPr>
                            <w:r w:rsidRPr="00733404">
                              <w:rPr>
                                <w:rFonts w:ascii="Arial" w:hAnsi="Arial" w:cs="Arial"/>
                                <w:b/>
                                <w:bCs/>
                                <w:sz w:val="20"/>
                              </w:rPr>
                              <w:t>$(Dollars)</w:t>
                            </w:r>
                          </w:p>
                        </w:tc>
                        <w:tc>
                          <w:tcPr>
                            <w:tcW w:w="1160" w:type="dxa"/>
                            <w:tcBorders>
                              <w:top w:val="nil"/>
                              <w:left w:val="nil"/>
                              <w:bottom w:val="single" w:sz="4" w:space="0" w:color="000000"/>
                              <w:right w:val="nil"/>
                            </w:tcBorders>
                            <w:shd w:val="clear" w:color="auto" w:fill="auto"/>
                            <w:hideMark/>
                          </w:tcPr>
                          <w:p w14:paraId="4E7F6666" w14:textId="66DFDD83" w:rsidR="00D36D98" w:rsidRPr="00733404" w:rsidRDefault="00D36D98" w:rsidP="00D36D98">
                            <w:pPr>
                              <w:jc w:val="center"/>
                              <w:rPr>
                                <w:rFonts w:ascii="Arial" w:hAnsi="Arial" w:cs="Arial"/>
                                <w:b/>
                                <w:bCs/>
                                <w:sz w:val="20"/>
                              </w:rPr>
                            </w:pPr>
                            <w:r w:rsidRPr="00733404">
                              <w:rPr>
                                <w:rFonts w:ascii="Arial" w:hAnsi="Arial" w:cs="Arial"/>
                                <w:b/>
                                <w:bCs/>
                                <w:sz w:val="20"/>
                              </w:rPr>
                              <w:t>Weight</w:t>
                            </w:r>
                          </w:p>
                        </w:tc>
                        <w:tc>
                          <w:tcPr>
                            <w:tcW w:w="1160" w:type="dxa"/>
                            <w:tcBorders>
                              <w:top w:val="nil"/>
                              <w:left w:val="nil"/>
                              <w:bottom w:val="single" w:sz="4" w:space="0" w:color="000000"/>
                              <w:right w:val="nil"/>
                            </w:tcBorders>
                            <w:shd w:val="clear" w:color="auto" w:fill="auto"/>
                            <w:hideMark/>
                          </w:tcPr>
                          <w:p w14:paraId="088829B4" w14:textId="77777777" w:rsidR="00D36D98" w:rsidRPr="00733404" w:rsidRDefault="00D36D98" w:rsidP="00D36D98">
                            <w:pPr>
                              <w:jc w:val="center"/>
                              <w:rPr>
                                <w:rFonts w:ascii="Arial" w:hAnsi="Arial" w:cs="Arial"/>
                                <w:b/>
                                <w:bCs/>
                                <w:sz w:val="20"/>
                              </w:rPr>
                            </w:pPr>
                            <w:r w:rsidRPr="00733404">
                              <w:rPr>
                                <w:rFonts w:ascii="Arial" w:hAnsi="Arial" w:cs="Arial"/>
                                <w:b/>
                                <w:bCs/>
                                <w:sz w:val="20"/>
                              </w:rPr>
                              <w:t>Year</w:t>
                            </w:r>
                          </w:p>
                        </w:tc>
                        <w:tc>
                          <w:tcPr>
                            <w:tcW w:w="1160" w:type="dxa"/>
                            <w:tcBorders>
                              <w:top w:val="nil"/>
                              <w:left w:val="nil"/>
                              <w:bottom w:val="single" w:sz="4" w:space="0" w:color="000000"/>
                              <w:right w:val="nil"/>
                            </w:tcBorders>
                            <w:shd w:val="clear" w:color="auto" w:fill="auto"/>
                            <w:hideMark/>
                          </w:tcPr>
                          <w:p w14:paraId="6AB49F47" w14:textId="77777777" w:rsidR="00D36D98" w:rsidRPr="00733404" w:rsidRDefault="00D36D98" w:rsidP="00D36D98">
                            <w:pPr>
                              <w:jc w:val="center"/>
                              <w:rPr>
                                <w:rFonts w:ascii="Arial" w:hAnsi="Arial" w:cs="Arial"/>
                                <w:b/>
                                <w:bCs/>
                                <w:sz w:val="20"/>
                              </w:rPr>
                            </w:pPr>
                            <w:r w:rsidRPr="00733404">
                              <w:rPr>
                                <w:rFonts w:ascii="Arial" w:hAnsi="Arial" w:cs="Arial"/>
                                <w:b/>
                                <w:bCs/>
                                <w:sz w:val="20"/>
                              </w:rPr>
                              <w:t>Years</w:t>
                            </w:r>
                          </w:p>
                        </w:tc>
                        <w:tc>
                          <w:tcPr>
                            <w:tcW w:w="1160" w:type="dxa"/>
                            <w:tcBorders>
                              <w:top w:val="nil"/>
                              <w:left w:val="nil"/>
                              <w:bottom w:val="single" w:sz="4" w:space="0" w:color="000000"/>
                              <w:right w:val="nil"/>
                            </w:tcBorders>
                            <w:shd w:val="clear" w:color="auto" w:fill="auto"/>
                            <w:hideMark/>
                          </w:tcPr>
                          <w:p w14:paraId="2E4F4C2C" w14:textId="77777777" w:rsidR="00D36D98" w:rsidRPr="00733404" w:rsidRDefault="00D36D98" w:rsidP="00D36D98">
                            <w:pPr>
                              <w:jc w:val="center"/>
                              <w:rPr>
                                <w:rFonts w:ascii="Arial" w:hAnsi="Arial" w:cs="Arial"/>
                                <w:b/>
                                <w:bCs/>
                                <w:sz w:val="20"/>
                              </w:rPr>
                            </w:pPr>
                            <w:r w:rsidRPr="00733404">
                              <w:rPr>
                                <w:rFonts w:ascii="Arial" w:hAnsi="Arial" w:cs="Arial"/>
                                <w:b/>
                                <w:bCs/>
                                <w:sz w:val="20"/>
                              </w:rPr>
                              <w:t>Years</w:t>
                            </w:r>
                          </w:p>
                        </w:tc>
                      </w:tr>
                      <w:tr w:rsidR="00D36D98" w:rsidRPr="00E34F67" w14:paraId="1FF64F2F" w14:textId="77777777" w:rsidTr="00D36D98">
                        <w:trPr>
                          <w:trHeight w:val="240"/>
                        </w:trPr>
                        <w:tc>
                          <w:tcPr>
                            <w:tcW w:w="3220" w:type="dxa"/>
                            <w:tcBorders>
                              <w:top w:val="nil"/>
                              <w:left w:val="nil"/>
                              <w:bottom w:val="nil"/>
                              <w:right w:val="nil"/>
                            </w:tcBorders>
                            <w:shd w:val="clear" w:color="auto" w:fill="auto"/>
                            <w:hideMark/>
                          </w:tcPr>
                          <w:p w14:paraId="6DFF993B" w14:textId="77777777" w:rsidR="00D36D98" w:rsidRPr="00733404" w:rsidRDefault="00D36D98" w:rsidP="00D36D98">
                            <w:pPr>
                              <w:rPr>
                                <w:rFonts w:ascii="Arial" w:hAnsi="Arial" w:cs="Arial"/>
                                <w:b/>
                                <w:bCs/>
                                <w:sz w:val="20"/>
                              </w:rPr>
                            </w:pPr>
                            <w:r w:rsidRPr="00733404">
                              <w:rPr>
                                <w:rFonts w:ascii="Arial" w:hAnsi="Arial" w:cs="Arial"/>
                                <w:b/>
                                <w:bCs/>
                                <w:sz w:val="20"/>
                              </w:rPr>
                              <w:t>Domestic Equity</w:t>
                            </w:r>
                          </w:p>
                        </w:tc>
                        <w:tc>
                          <w:tcPr>
                            <w:tcW w:w="1600" w:type="dxa"/>
                            <w:tcBorders>
                              <w:top w:val="nil"/>
                              <w:left w:val="nil"/>
                              <w:bottom w:val="nil"/>
                              <w:right w:val="nil"/>
                            </w:tcBorders>
                            <w:shd w:val="clear" w:color="auto" w:fill="auto"/>
                            <w:vAlign w:val="center"/>
                            <w:hideMark/>
                          </w:tcPr>
                          <w:p w14:paraId="01A64DFF" w14:textId="77777777" w:rsidR="00D36D98" w:rsidRPr="00733404" w:rsidRDefault="00D36D98" w:rsidP="00D36D98">
                            <w:pPr>
                              <w:jc w:val="right"/>
                              <w:rPr>
                                <w:rFonts w:ascii="Arial" w:hAnsi="Arial" w:cs="Arial"/>
                                <w:b/>
                                <w:bCs/>
                                <w:sz w:val="20"/>
                              </w:rPr>
                            </w:pPr>
                            <w:r w:rsidRPr="00733404">
                              <w:rPr>
                                <w:rFonts w:ascii="Arial" w:hAnsi="Arial" w:cs="Arial"/>
                                <w:b/>
                                <w:bCs/>
                                <w:sz w:val="20"/>
                              </w:rPr>
                              <w:t>$171,109,624.00</w:t>
                            </w:r>
                          </w:p>
                        </w:tc>
                        <w:tc>
                          <w:tcPr>
                            <w:tcW w:w="1160" w:type="dxa"/>
                            <w:tcBorders>
                              <w:top w:val="nil"/>
                              <w:left w:val="nil"/>
                              <w:bottom w:val="nil"/>
                              <w:right w:val="nil"/>
                            </w:tcBorders>
                            <w:shd w:val="clear" w:color="auto" w:fill="auto"/>
                            <w:hideMark/>
                          </w:tcPr>
                          <w:p w14:paraId="640ACFEE" w14:textId="77777777" w:rsidR="00D36D98" w:rsidRPr="00733404" w:rsidRDefault="00D36D98" w:rsidP="00D36D98">
                            <w:pPr>
                              <w:jc w:val="center"/>
                              <w:rPr>
                                <w:rFonts w:ascii="Arial" w:hAnsi="Arial" w:cs="Arial"/>
                                <w:b/>
                                <w:bCs/>
                                <w:sz w:val="20"/>
                              </w:rPr>
                            </w:pPr>
                            <w:r w:rsidRPr="00733404">
                              <w:rPr>
                                <w:rFonts w:ascii="Arial" w:hAnsi="Arial" w:cs="Arial"/>
                                <w:b/>
                                <w:bCs/>
                                <w:sz w:val="20"/>
                              </w:rPr>
                              <w:t>33.88%</w:t>
                            </w:r>
                          </w:p>
                        </w:tc>
                        <w:tc>
                          <w:tcPr>
                            <w:tcW w:w="1160" w:type="dxa"/>
                            <w:tcBorders>
                              <w:top w:val="nil"/>
                              <w:left w:val="nil"/>
                              <w:bottom w:val="nil"/>
                              <w:right w:val="nil"/>
                            </w:tcBorders>
                            <w:shd w:val="clear" w:color="auto" w:fill="auto"/>
                            <w:noWrap/>
                            <w:hideMark/>
                          </w:tcPr>
                          <w:p w14:paraId="0DD7C252" w14:textId="77777777" w:rsidR="00D36D98" w:rsidRPr="00733404" w:rsidRDefault="00D36D98" w:rsidP="00D36D98">
                            <w:pPr>
                              <w:jc w:val="center"/>
                              <w:rPr>
                                <w:rFonts w:ascii="Arial" w:hAnsi="Arial" w:cs="Arial"/>
                                <w:b/>
                                <w:bCs/>
                                <w:color w:val="000000"/>
                                <w:sz w:val="20"/>
                              </w:rPr>
                            </w:pPr>
                            <w:r w:rsidRPr="00733404">
                              <w:rPr>
                                <w:rFonts w:ascii="Arial" w:hAnsi="Arial" w:cs="Arial"/>
                                <w:b/>
                                <w:bCs/>
                                <w:color w:val="000000"/>
                                <w:sz w:val="20"/>
                              </w:rPr>
                              <w:t>26.41%</w:t>
                            </w:r>
                          </w:p>
                        </w:tc>
                        <w:tc>
                          <w:tcPr>
                            <w:tcW w:w="1160" w:type="dxa"/>
                            <w:tcBorders>
                              <w:top w:val="nil"/>
                              <w:left w:val="nil"/>
                              <w:bottom w:val="nil"/>
                              <w:right w:val="nil"/>
                            </w:tcBorders>
                            <w:shd w:val="clear" w:color="auto" w:fill="auto"/>
                            <w:noWrap/>
                            <w:hideMark/>
                          </w:tcPr>
                          <w:p w14:paraId="29466F19" w14:textId="77777777" w:rsidR="00D36D98" w:rsidRPr="00733404" w:rsidRDefault="00D36D98" w:rsidP="00D36D98">
                            <w:pPr>
                              <w:jc w:val="center"/>
                              <w:rPr>
                                <w:rFonts w:ascii="Arial" w:hAnsi="Arial" w:cs="Arial"/>
                                <w:b/>
                                <w:bCs/>
                                <w:color w:val="000000"/>
                                <w:sz w:val="20"/>
                              </w:rPr>
                            </w:pPr>
                            <w:r w:rsidRPr="00733404">
                              <w:rPr>
                                <w:rFonts w:ascii="Arial" w:hAnsi="Arial" w:cs="Arial"/>
                                <w:b/>
                                <w:bCs/>
                                <w:color w:val="000000"/>
                                <w:sz w:val="20"/>
                              </w:rPr>
                              <w:t>25.94%</w:t>
                            </w:r>
                          </w:p>
                        </w:tc>
                        <w:tc>
                          <w:tcPr>
                            <w:tcW w:w="1160" w:type="dxa"/>
                            <w:tcBorders>
                              <w:top w:val="nil"/>
                              <w:left w:val="nil"/>
                              <w:bottom w:val="nil"/>
                              <w:right w:val="nil"/>
                            </w:tcBorders>
                            <w:shd w:val="clear" w:color="auto" w:fill="auto"/>
                            <w:noWrap/>
                            <w:hideMark/>
                          </w:tcPr>
                          <w:p w14:paraId="0E20EB7A" w14:textId="77777777" w:rsidR="00D36D98" w:rsidRPr="00733404" w:rsidRDefault="00D36D98" w:rsidP="00D36D98">
                            <w:pPr>
                              <w:jc w:val="center"/>
                              <w:rPr>
                                <w:rFonts w:ascii="Arial" w:hAnsi="Arial" w:cs="Arial"/>
                                <w:b/>
                                <w:bCs/>
                                <w:color w:val="000000"/>
                                <w:sz w:val="20"/>
                              </w:rPr>
                            </w:pPr>
                            <w:r w:rsidRPr="00733404">
                              <w:rPr>
                                <w:rFonts w:ascii="Arial" w:hAnsi="Arial" w:cs="Arial"/>
                                <w:b/>
                                <w:bCs/>
                                <w:color w:val="000000"/>
                                <w:sz w:val="20"/>
                              </w:rPr>
                              <w:t>17.67%</w:t>
                            </w:r>
                          </w:p>
                        </w:tc>
                      </w:tr>
                      <w:tr w:rsidR="00D36D98" w:rsidRPr="00E34F67" w14:paraId="1EACE110" w14:textId="77777777" w:rsidTr="00D36D98">
                        <w:trPr>
                          <w:trHeight w:val="240"/>
                        </w:trPr>
                        <w:tc>
                          <w:tcPr>
                            <w:tcW w:w="3220" w:type="dxa"/>
                            <w:tcBorders>
                              <w:top w:val="nil"/>
                              <w:left w:val="nil"/>
                              <w:bottom w:val="nil"/>
                              <w:right w:val="nil"/>
                            </w:tcBorders>
                            <w:shd w:val="clear" w:color="auto" w:fill="auto"/>
                            <w:hideMark/>
                          </w:tcPr>
                          <w:p w14:paraId="474889D4" w14:textId="77777777" w:rsidR="00D36D98" w:rsidRPr="00733404" w:rsidRDefault="00D36D98" w:rsidP="00D36D98">
                            <w:pPr>
                              <w:rPr>
                                <w:rFonts w:ascii="Arial" w:hAnsi="Arial" w:cs="Arial"/>
                                <w:b/>
                                <w:bCs/>
                                <w:sz w:val="20"/>
                              </w:rPr>
                            </w:pPr>
                            <w:r w:rsidRPr="00733404">
                              <w:rPr>
                                <w:rFonts w:ascii="Arial" w:hAnsi="Arial" w:cs="Arial"/>
                                <w:b/>
                                <w:bCs/>
                                <w:sz w:val="20"/>
                              </w:rPr>
                              <w:t>Large Cap Equity</w:t>
                            </w:r>
                          </w:p>
                        </w:tc>
                        <w:tc>
                          <w:tcPr>
                            <w:tcW w:w="1600" w:type="dxa"/>
                            <w:tcBorders>
                              <w:top w:val="nil"/>
                              <w:left w:val="nil"/>
                              <w:bottom w:val="nil"/>
                              <w:right w:val="nil"/>
                            </w:tcBorders>
                            <w:shd w:val="clear" w:color="auto" w:fill="auto"/>
                            <w:vAlign w:val="center"/>
                            <w:hideMark/>
                          </w:tcPr>
                          <w:p w14:paraId="44DC55FE" w14:textId="77777777" w:rsidR="00D36D98" w:rsidRPr="00733404" w:rsidRDefault="00D36D98" w:rsidP="00D36D98">
                            <w:pPr>
                              <w:jc w:val="right"/>
                              <w:rPr>
                                <w:rFonts w:ascii="Arial" w:hAnsi="Arial" w:cs="Arial"/>
                                <w:b/>
                                <w:bCs/>
                                <w:sz w:val="20"/>
                              </w:rPr>
                            </w:pPr>
                            <w:r w:rsidRPr="00733404">
                              <w:rPr>
                                <w:rFonts w:ascii="Arial" w:hAnsi="Arial" w:cs="Arial"/>
                                <w:b/>
                                <w:bCs/>
                                <w:sz w:val="20"/>
                              </w:rPr>
                              <w:t>$125,193,900.00</w:t>
                            </w:r>
                          </w:p>
                        </w:tc>
                        <w:tc>
                          <w:tcPr>
                            <w:tcW w:w="1160" w:type="dxa"/>
                            <w:tcBorders>
                              <w:top w:val="nil"/>
                              <w:left w:val="nil"/>
                              <w:bottom w:val="nil"/>
                              <w:right w:val="nil"/>
                            </w:tcBorders>
                            <w:shd w:val="clear" w:color="auto" w:fill="auto"/>
                            <w:hideMark/>
                          </w:tcPr>
                          <w:p w14:paraId="53DBD228" w14:textId="77777777" w:rsidR="00D36D98" w:rsidRPr="00733404" w:rsidRDefault="00D36D98" w:rsidP="00D36D98">
                            <w:pPr>
                              <w:jc w:val="center"/>
                              <w:rPr>
                                <w:rFonts w:ascii="Arial" w:hAnsi="Arial" w:cs="Arial"/>
                                <w:b/>
                                <w:bCs/>
                                <w:sz w:val="20"/>
                              </w:rPr>
                            </w:pPr>
                            <w:r w:rsidRPr="00733404">
                              <w:rPr>
                                <w:rFonts w:ascii="Arial" w:hAnsi="Arial" w:cs="Arial"/>
                                <w:b/>
                                <w:bCs/>
                                <w:sz w:val="20"/>
                              </w:rPr>
                              <w:t>24.79%</w:t>
                            </w:r>
                          </w:p>
                        </w:tc>
                        <w:tc>
                          <w:tcPr>
                            <w:tcW w:w="1160" w:type="dxa"/>
                            <w:tcBorders>
                              <w:top w:val="nil"/>
                              <w:left w:val="nil"/>
                              <w:bottom w:val="nil"/>
                              <w:right w:val="nil"/>
                            </w:tcBorders>
                            <w:shd w:val="clear" w:color="auto" w:fill="auto"/>
                            <w:noWrap/>
                            <w:hideMark/>
                          </w:tcPr>
                          <w:p w14:paraId="331A1D0D" w14:textId="77777777" w:rsidR="00D36D98" w:rsidRPr="00733404" w:rsidRDefault="00D36D98" w:rsidP="00D36D98">
                            <w:pPr>
                              <w:jc w:val="center"/>
                              <w:rPr>
                                <w:rFonts w:ascii="Arial" w:hAnsi="Arial" w:cs="Arial"/>
                                <w:b/>
                                <w:bCs/>
                                <w:color w:val="000000"/>
                                <w:sz w:val="20"/>
                              </w:rPr>
                            </w:pPr>
                            <w:r w:rsidRPr="00733404">
                              <w:rPr>
                                <w:rFonts w:ascii="Arial" w:hAnsi="Arial" w:cs="Arial"/>
                                <w:b/>
                                <w:bCs/>
                                <w:color w:val="000000"/>
                                <w:sz w:val="20"/>
                              </w:rPr>
                              <w:t>29.64%</w:t>
                            </w:r>
                          </w:p>
                        </w:tc>
                        <w:tc>
                          <w:tcPr>
                            <w:tcW w:w="1160" w:type="dxa"/>
                            <w:tcBorders>
                              <w:top w:val="nil"/>
                              <w:left w:val="nil"/>
                              <w:bottom w:val="nil"/>
                              <w:right w:val="nil"/>
                            </w:tcBorders>
                            <w:shd w:val="clear" w:color="auto" w:fill="auto"/>
                            <w:noWrap/>
                            <w:hideMark/>
                          </w:tcPr>
                          <w:p w14:paraId="0BD9515F" w14:textId="77777777" w:rsidR="00D36D98" w:rsidRPr="00733404" w:rsidRDefault="00D36D98" w:rsidP="00D36D98">
                            <w:pPr>
                              <w:jc w:val="center"/>
                              <w:rPr>
                                <w:rFonts w:ascii="Arial" w:hAnsi="Arial" w:cs="Arial"/>
                                <w:b/>
                                <w:bCs/>
                                <w:color w:val="000000"/>
                                <w:sz w:val="20"/>
                              </w:rPr>
                            </w:pPr>
                            <w:r w:rsidRPr="00733404">
                              <w:rPr>
                                <w:rFonts w:ascii="Arial" w:hAnsi="Arial" w:cs="Arial"/>
                                <w:b/>
                                <w:bCs/>
                                <w:color w:val="000000"/>
                                <w:sz w:val="20"/>
                              </w:rPr>
                              <w:t>25.24%</w:t>
                            </w:r>
                          </w:p>
                        </w:tc>
                        <w:tc>
                          <w:tcPr>
                            <w:tcW w:w="1160" w:type="dxa"/>
                            <w:tcBorders>
                              <w:top w:val="nil"/>
                              <w:left w:val="nil"/>
                              <w:bottom w:val="nil"/>
                              <w:right w:val="nil"/>
                            </w:tcBorders>
                            <w:shd w:val="clear" w:color="auto" w:fill="auto"/>
                            <w:noWrap/>
                            <w:hideMark/>
                          </w:tcPr>
                          <w:p w14:paraId="2B134E3A" w14:textId="77777777" w:rsidR="00D36D98" w:rsidRPr="00733404" w:rsidRDefault="00D36D98" w:rsidP="00D36D98">
                            <w:pPr>
                              <w:jc w:val="center"/>
                              <w:rPr>
                                <w:rFonts w:ascii="Arial" w:hAnsi="Arial" w:cs="Arial"/>
                                <w:b/>
                                <w:bCs/>
                                <w:color w:val="000000"/>
                                <w:sz w:val="20"/>
                              </w:rPr>
                            </w:pPr>
                            <w:r w:rsidRPr="00733404">
                              <w:rPr>
                                <w:rFonts w:ascii="Arial" w:hAnsi="Arial" w:cs="Arial"/>
                                <w:b/>
                                <w:bCs/>
                                <w:color w:val="000000"/>
                                <w:sz w:val="20"/>
                              </w:rPr>
                              <w:t>17.11%</w:t>
                            </w:r>
                          </w:p>
                        </w:tc>
                      </w:tr>
                      <w:tr w:rsidR="00D36D98" w:rsidRPr="00E34F67" w14:paraId="1325E15E" w14:textId="77777777" w:rsidTr="00D36D98">
                        <w:trPr>
                          <w:trHeight w:val="240"/>
                        </w:trPr>
                        <w:tc>
                          <w:tcPr>
                            <w:tcW w:w="3220" w:type="dxa"/>
                            <w:tcBorders>
                              <w:top w:val="nil"/>
                              <w:left w:val="nil"/>
                              <w:bottom w:val="nil"/>
                              <w:right w:val="nil"/>
                            </w:tcBorders>
                            <w:shd w:val="clear" w:color="auto" w:fill="auto"/>
                            <w:hideMark/>
                          </w:tcPr>
                          <w:p w14:paraId="6942DC0E" w14:textId="77777777" w:rsidR="00D36D98" w:rsidRPr="00733404" w:rsidRDefault="00D36D98" w:rsidP="00D36D98">
                            <w:pPr>
                              <w:rPr>
                                <w:rFonts w:ascii="Arial" w:hAnsi="Arial" w:cs="Arial"/>
                                <w:sz w:val="20"/>
                              </w:rPr>
                            </w:pPr>
                            <w:r w:rsidRPr="00733404">
                              <w:rPr>
                                <w:rFonts w:ascii="Arial" w:hAnsi="Arial" w:cs="Arial"/>
                                <w:sz w:val="20"/>
                              </w:rPr>
                              <w:t>NTAM S&amp;P 500 CF</w:t>
                            </w:r>
                          </w:p>
                        </w:tc>
                        <w:tc>
                          <w:tcPr>
                            <w:tcW w:w="1600" w:type="dxa"/>
                            <w:tcBorders>
                              <w:top w:val="nil"/>
                              <w:left w:val="nil"/>
                              <w:bottom w:val="nil"/>
                              <w:right w:val="nil"/>
                            </w:tcBorders>
                            <w:shd w:val="clear" w:color="auto" w:fill="auto"/>
                            <w:vAlign w:val="center"/>
                            <w:hideMark/>
                          </w:tcPr>
                          <w:p w14:paraId="4500FC99" w14:textId="77777777" w:rsidR="00D36D98" w:rsidRPr="00733404" w:rsidRDefault="00D36D98" w:rsidP="00D36D98">
                            <w:pPr>
                              <w:jc w:val="right"/>
                              <w:rPr>
                                <w:rFonts w:ascii="Arial" w:hAnsi="Arial" w:cs="Arial"/>
                                <w:sz w:val="20"/>
                              </w:rPr>
                            </w:pPr>
                            <w:r w:rsidRPr="00733404">
                              <w:rPr>
                                <w:rFonts w:ascii="Arial" w:hAnsi="Arial" w:cs="Arial"/>
                                <w:sz w:val="20"/>
                              </w:rPr>
                              <w:t>$125,149,086.00</w:t>
                            </w:r>
                          </w:p>
                        </w:tc>
                        <w:tc>
                          <w:tcPr>
                            <w:tcW w:w="1160" w:type="dxa"/>
                            <w:tcBorders>
                              <w:top w:val="nil"/>
                              <w:left w:val="nil"/>
                              <w:bottom w:val="nil"/>
                              <w:right w:val="nil"/>
                            </w:tcBorders>
                            <w:shd w:val="clear" w:color="auto" w:fill="auto"/>
                            <w:hideMark/>
                          </w:tcPr>
                          <w:p w14:paraId="51E7488E" w14:textId="77777777" w:rsidR="00D36D98" w:rsidRPr="00733404" w:rsidRDefault="00D36D98" w:rsidP="00D36D98">
                            <w:pPr>
                              <w:jc w:val="center"/>
                              <w:rPr>
                                <w:rFonts w:ascii="Arial" w:hAnsi="Arial" w:cs="Arial"/>
                                <w:sz w:val="20"/>
                              </w:rPr>
                            </w:pPr>
                            <w:r w:rsidRPr="00733404">
                              <w:rPr>
                                <w:rFonts w:ascii="Arial" w:hAnsi="Arial" w:cs="Arial"/>
                                <w:sz w:val="20"/>
                              </w:rPr>
                              <w:t>24.78%</w:t>
                            </w:r>
                          </w:p>
                        </w:tc>
                        <w:tc>
                          <w:tcPr>
                            <w:tcW w:w="1160" w:type="dxa"/>
                            <w:tcBorders>
                              <w:top w:val="nil"/>
                              <w:left w:val="nil"/>
                              <w:bottom w:val="nil"/>
                              <w:right w:val="nil"/>
                            </w:tcBorders>
                            <w:shd w:val="clear" w:color="auto" w:fill="auto"/>
                            <w:noWrap/>
                            <w:hideMark/>
                          </w:tcPr>
                          <w:p w14:paraId="30D75AA9" w14:textId="77777777" w:rsidR="00D36D98" w:rsidRPr="00733404" w:rsidRDefault="00D36D98" w:rsidP="00D36D98">
                            <w:pPr>
                              <w:jc w:val="center"/>
                              <w:rPr>
                                <w:rFonts w:ascii="Arial" w:hAnsi="Arial" w:cs="Arial"/>
                                <w:color w:val="000000"/>
                                <w:sz w:val="20"/>
                              </w:rPr>
                            </w:pPr>
                            <w:r w:rsidRPr="00733404">
                              <w:rPr>
                                <w:rFonts w:ascii="Arial" w:hAnsi="Arial" w:cs="Arial"/>
                                <w:color w:val="000000"/>
                                <w:sz w:val="20"/>
                              </w:rPr>
                              <w:t>28.69%</w:t>
                            </w:r>
                          </w:p>
                        </w:tc>
                        <w:tc>
                          <w:tcPr>
                            <w:tcW w:w="1160" w:type="dxa"/>
                            <w:tcBorders>
                              <w:top w:val="nil"/>
                              <w:left w:val="nil"/>
                              <w:bottom w:val="nil"/>
                              <w:right w:val="nil"/>
                            </w:tcBorders>
                            <w:shd w:val="clear" w:color="auto" w:fill="auto"/>
                            <w:hideMark/>
                          </w:tcPr>
                          <w:p w14:paraId="50BDCE86" w14:textId="77777777" w:rsidR="00D36D98" w:rsidRPr="00733404" w:rsidRDefault="00D36D98" w:rsidP="00D36D98">
                            <w:pPr>
                              <w:jc w:val="center"/>
                              <w:rPr>
                                <w:rFonts w:ascii="Arial" w:hAnsi="Arial" w:cs="Arial"/>
                                <w:sz w:val="20"/>
                              </w:rPr>
                            </w:pPr>
                            <w:r w:rsidRPr="00733404">
                              <w:rPr>
                                <w:rFonts w:ascii="Arial" w:hAnsi="Arial" w:cs="Arial"/>
                                <w:sz w:val="20"/>
                              </w:rPr>
                              <w:t>-</w:t>
                            </w:r>
                          </w:p>
                        </w:tc>
                        <w:tc>
                          <w:tcPr>
                            <w:tcW w:w="1160" w:type="dxa"/>
                            <w:tcBorders>
                              <w:top w:val="nil"/>
                              <w:left w:val="nil"/>
                              <w:bottom w:val="nil"/>
                              <w:right w:val="nil"/>
                            </w:tcBorders>
                            <w:shd w:val="clear" w:color="auto" w:fill="auto"/>
                            <w:hideMark/>
                          </w:tcPr>
                          <w:p w14:paraId="1CA8CF50" w14:textId="77777777" w:rsidR="00D36D98" w:rsidRPr="00733404" w:rsidRDefault="00D36D98" w:rsidP="00D36D98">
                            <w:pPr>
                              <w:jc w:val="center"/>
                              <w:rPr>
                                <w:rFonts w:ascii="Arial" w:hAnsi="Arial" w:cs="Arial"/>
                                <w:sz w:val="20"/>
                              </w:rPr>
                            </w:pPr>
                            <w:r w:rsidRPr="00733404">
                              <w:rPr>
                                <w:rFonts w:ascii="Arial" w:hAnsi="Arial" w:cs="Arial"/>
                                <w:sz w:val="20"/>
                              </w:rPr>
                              <w:t>-</w:t>
                            </w:r>
                          </w:p>
                        </w:tc>
                      </w:tr>
                      <w:tr w:rsidR="00D36D98" w:rsidRPr="00E34F67" w14:paraId="5809AABD" w14:textId="77777777" w:rsidTr="00D36D98">
                        <w:trPr>
                          <w:trHeight w:val="240"/>
                        </w:trPr>
                        <w:tc>
                          <w:tcPr>
                            <w:tcW w:w="3220" w:type="dxa"/>
                            <w:tcBorders>
                              <w:top w:val="nil"/>
                              <w:left w:val="nil"/>
                              <w:bottom w:val="nil"/>
                              <w:right w:val="nil"/>
                            </w:tcBorders>
                            <w:shd w:val="clear" w:color="auto" w:fill="auto"/>
                            <w:vAlign w:val="center"/>
                            <w:hideMark/>
                          </w:tcPr>
                          <w:p w14:paraId="2F439A8E" w14:textId="77777777" w:rsidR="00D36D98" w:rsidRPr="00733404" w:rsidRDefault="00D36D98" w:rsidP="00D36D98">
                            <w:pPr>
                              <w:rPr>
                                <w:rFonts w:ascii="Arial" w:hAnsi="Arial" w:cs="Arial"/>
                                <w:b/>
                                <w:bCs/>
                                <w:sz w:val="20"/>
                              </w:rPr>
                            </w:pPr>
                            <w:r w:rsidRPr="00733404">
                              <w:rPr>
                                <w:rFonts w:ascii="Arial" w:hAnsi="Arial" w:cs="Arial"/>
                                <w:b/>
                                <w:bCs/>
                                <w:sz w:val="20"/>
                              </w:rPr>
                              <w:t>Small Cap Equity</w:t>
                            </w:r>
                          </w:p>
                        </w:tc>
                        <w:tc>
                          <w:tcPr>
                            <w:tcW w:w="1600" w:type="dxa"/>
                            <w:tcBorders>
                              <w:top w:val="nil"/>
                              <w:left w:val="nil"/>
                              <w:bottom w:val="nil"/>
                              <w:right w:val="nil"/>
                            </w:tcBorders>
                            <w:shd w:val="clear" w:color="auto" w:fill="auto"/>
                            <w:vAlign w:val="center"/>
                            <w:hideMark/>
                          </w:tcPr>
                          <w:p w14:paraId="4F8D1765" w14:textId="77777777" w:rsidR="00D36D98" w:rsidRPr="00733404" w:rsidRDefault="00D36D98" w:rsidP="00D36D98">
                            <w:pPr>
                              <w:jc w:val="right"/>
                              <w:rPr>
                                <w:rFonts w:ascii="Arial" w:hAnsi="Arial" w:cs="Arial"/>
                                <w:b/>
                                <w:bCs/>
                                <w:sz w:val="20"/>
                              </w:rPr>
                            </w:pPr>
                            <w:r w:rsidRPr="00733404">
                              <w:rPr>
                                <w:rFonts w:ascii="Arial" w:hAnsi="Arial" w:cs="Arial"/>
                                <w:b/>
                                <w:bCs/>
                                <w:sz w:val="20"/>
                              </w:rPr>
                              <w:t>$45,915,724.00</w:t>
                            </w:r>
                          </w:p>
                        </w:tc>
                        <w:tc>
                          <w:tcPr>
                            <w:tcW w:w="1160" w:type="dxa"/>
                            <w:tcBorders>
                              <w:top w:val="nil"/>
                              <w:left w:val="nil"/>
                              <w:bottom w:val="nil"/>
                              <w:right w:val="nil"/>
                            </w:tcBorders>
                            <w:shd w:val="clear" w:color="auto" w:fill="auto"/>
                            <w:vAlign w:val="center"/>
                            <w:hideMark/>
                          </w:tcPr>
                          <w:p w14:paraId="72C7676A" w14:textId="77777777" w:rsidR="00D36D98" w:rsidRPr="00733404" w:rsidRDefault="00D36D98" w:rsidP="00D36D98">
                            <w:pPr>
                              <w:jc w:val="center"/>
                              <w:rPr>
                                <w:rFonts w:ascii="Arial" w:hAnsi="Arial" w:cs="Arial"/>
                                <w:b/>
                                <w:bCs/>
                                <w:sz w:val="20"/>
                              </w:rPr>
                            </w:pPr>
                            <w:r w:rsidRPr="00733404">
                              <w:rPr>
                                <w:rFonts w:ascii="Arial" w:hAnsi="Arial" w:cs="Arial"/>
                                <w:b/>
                                <w:bCs/>
                                <w:sz w:val="20"/>
                              </w:rPr>
                              <w:t>9.09%</w:t>
                            </w:r>
                          </w:p>
                        </w:tc>
                        <w:tc>
                          <w:tcPr>
                            <w:tcW w:w="1160" w:type="dxa"/>
                            <w:tcBorders>
                              <w:top w:val="nil"/>
                              <w:left w:val="nil"/>
                              <w:bottom w:val="nil"/>
                              <w:right w:val="nil"/>
                            </w:tcBorders>
                            <w:shd w:val="clear" w:color="auto" w:fill="auto"/>
                            <w:noWrap/>
                            <w:vAlign w:val="center"/>
                            <w:hideMark/>
                          </w:tcPr>
                          <w:p w14:paraId="66D732A9" w14:textId="77777777" w:rsidR="00D36D98" w:rsidRPr="00733404" w:rsidRDefault="00D36D98" w:rsidP="00D36D98">
                            <w:pPr>
                              <w:jc w:val="center"/>
                              <w:rPr>
                                <w:rFonts w:ascii="Arial" w:hAnsi="Arial" w:cs="Arial"/>
                                <w:b/>
                                <w:bCs/>
                                <w:color w:val="000000"/>
                                <w:sz w:val="20"/>
                              </w:rPr>
                            </w:pPr>
                            <w:r w:rsidRPr="00733404">
                              <w:rPr>
                                <w:rFonts w:ascii="Arial" w:hAnsi="Arial" w:cs="Arial"/>
                                <w:b/>
                                <w:bCs/>
                                <w:color w:val="000000"/>
                                <w:sz w:val="20"/>
                              </w:rPr>
                              <w:t>17.13%</w:t>
                            </w:r>
                          </w:p>
                        </w:tc>
                        <w:tc>
                          <w:tcPr>
                            <w:tcW w:w="1160" w:type="dxa"/>
                            <w:tcBorders>
                              <w:top w:val="nil"/>
                              <w:left w:val="nil"/>
                              <w:bottom w:val="nil"/>
                              <w:right w:val="nil"/>
                            </w:tcBorders>
                            <w:shd w:val="clear" w:color="auto" w:fill="auto"/>
                            <w:noWrap/>
                            <w:vAlign w:val="center"/>
                            <w:hideMark/>
                          </w:tcPr>
                          <w:p w14:paraId="68BF5FA0" w14:textId="77777777" w:rsidR="00D36D98" w:rsidRPr="00733404" w:rsidRDefault="00D36D98" w:rsidP="00D36D98">
                            <w:pPr>
                              <w:jc w:val="center"/>
                              <w:rPr>
                                <w:rFonts w:ascii="Arial" w:hAnsi="Arial" w:cs="Arial"/>
                                <w:b/>
                                <w:bCs/>
                                <w:color w:val="000000"/>
                                <w:sz w:val="20"/>
                              </w:rPr>
                            </w:pPr>
                            <w:r w:rsidRPr="00733404">
                              <w:rPr>
                                <w:rFonts w:ascii="Arial" w:hAnsi="Arial" w:cs="Arial"/>
                                <w:b/>
                                <w:bCs/>
                                <w:color w:val="000000"/>
                                <w:sz w:val="20"/>
                              </w:rPr>
                              <w:t>26.90%</w:t>
                            </w:r>
                          </w:p>
                        </w:tc>
                        <w:tc>
                          <w:tcPr>
                            <w:tcW w:w="1160" w:type="dxa"/>
                            <w:tcBorders>
                              <w:top w:val="nil"/>
                              <w:left w:val="nil"/>
                              <w:bottom w:val="nil"/>
                              <w:right w:val="nil"/>
                            </w:tcBorders>
                            <w:shd w:val="clear" w:color="auto" w:fill="auto"/>
                            <w:noWrap/>
                            <w:vAlign w:val="center"/>
                            <w:hideMark/>
                          </w:tcPr>
                          <w:p w14:paraId="10C45BFD" w14:textId="77777777" w:rsidR="00D36D98" w:rsidRPr="00733404" w:rsidRDefault="00D36D98" w:rsidP="00D36D98">
                            <w:pPr>
                              <w:jc w:val="center"/>
                              <w:rPr>
                                <w:rFonts w:ascii="Arial" w:hAnsi="Arial" w:cs="Arial"/>
                                <w:b/>
                                <w:bCs/>
                                <w:color w:val="000000"/>
                                <w:sz w:val="20"/>
                              </w:rPr>
                            </w:pPr>
                            <w:r w:rsidRPr="00733404">
                              <w:rPr>
                                <w:rFonts w:ascii="Arial" w:hAnsi="Arial" w:cs="Arial"/>
                                <w:b/>
                                <w:bCs/>
                                <w:color w:val="000000"/>
                                <w:sz w:val="20"/>
                              </w:rPr>
                              <w:t>18.58%</w:t>
                            </w:r>
                          </w:p>
                        </w:tc>
                      </w:tr>
                      <w:tr w:rsidR="00D36D98" w:rsidRPr="00E34F67" w14:paraId="28150238" w14:textId="77777777" w:rsidTr="00D36D98">
                        <w:trPr>
                          <w:trHeight w:val="240"/>
                        </w:trPr>
                        <w:tc>
                          <w:tcPr>
                            <w:tcW w:w="3220" w:type="dxa"/>
                            <w:tcBorders>
                              <w:top w:val="nil"/>
                              <w:left w:val="nil"/>
                              <w:bottom w:val="nil"/>
                              <w:right w:val="nil"/>
                            </w:tcBorders>
                            <w:shd w:val="clear" w:color="auto" w:fill="auto"/>
                            <w:vAlign w:val="center"/>
                            <w:hideMark/>
                          </w:tcPr>
                          <w:p w14:paraId="05E7E67C" w14:textId="77777777" w:rsidR="00D36D98" w:rsidRPr="00733404" w:rsidRDefault="00D36D98" w:rsidP="00D36D98">
                            <w:pPr>
                              <w:rPr>
                                <w:rFonts w:ascii="Arial" w:hAnsi="Arial" w:cs="Arial"/>
                                <w:sz w:val="20"/>
                              </w:rPr>
                            </w:pPr>
                            <w:r w:rsidRPr="00733404">
                              <w:rPr>
                                <w:rFonts w:ascii="Arial" w:hAnsi="Arial" w:cs="Arial"/>
                                <w:sz w:val="20"/>
                              </w:rPr>
                              <w:t>Brown Capital Management</w:t>
                            </w:r>
                          </w:p>
                        </w:tc>
                        <w:tc>
                          <w:tcPr>
                            <w:tcW w:w="1600" w:type="dxa"/>
                            <w:tcBorders>
                              <w:top w:val="nil"/>
                              <w:left w:val="nil"/>
                              <w:bottom w:val="nil"/>
                              <w:right w:val="nil"/>
                            </w:tcBorders>
                            <w:shd w:val="clear" w:color="auto" w:fill="auto"/>
                            <w:vAlign w:val="center"/>
                            <w:hideMark/>
                          </w:tcPr>
                          <w:p w14:paraId="2C81E403" w14:textId="77777777" w:rsidR="00D36D98" w:rsidRPr="00733404" w:rsidRDefault="00D36D98" w:rsidP="00D36D98">
                            <w:pPr>
                              <w:jc w:val="right"/>
                              <w:rPr>
                                <w:rFonts w:ascii="Arial" w:hAnsi="Arial" w:cs="Arial"/>
                                <w:sz w:val="20"/>
                              </w:rPr>
                            </w:pPr>
                            <w:r w:rsidRPr="00733404">
                              <w:rPr>
                                <w:rFonts w:ascii="Arial" w:hAnsi="Arial" w:cs="Arial"/>
                                <w:sz w:val="20"/>
                              </w:rPr>
                              <w:t>$11,628,284.00</w:t>
                            </w:r>
                          </w:p>
                        </w:tc>
                        <w:tc>
                          <w:tcPr>
                            <w:tcW w:w="1160" w:type="dxa"/>
                            <w:tcBorders>
                              <w:top w:val="nil"/>
                              <w:left w:val="nil"/>
                              <w:bottom w:val="nil"/>
                              <w:right w:val="nil"/>
                            </w:tcBorders>
                            <w:shd w:val="clear" w:color="auto" w:fill="auto"/>
                            <w:noWrap/>
                            <w:vAlign w:val="center"/>
                            <w:hideMark/>
                          </w:tcPr>
                          <w:p w14:paraId="0E150D14" w14:textId="77777777" w:rsidR="00D36D98" w:rsidRPr="00733404" w:rsidRDefault="00D36D98" w:rsidP="00D36D98">
                            <w:pPr>
                              <w:jc w:val="center"/>
                              <w:rPr>
                                <w:rFonts w:ascii="Arial" w:hAnsi="Arial" w:cs="Arial"/>
                                <w:color w:val="000000"/>
                                <w:sz w:val="20"/>
                              </w:rPr>
                            </w:pPr>
                            <w:r w:rsidRPr="00733404">
                              <w:rPr>
                                <w:rFonts w:ascii="Arial" w:hAnsi="Arial" w:cs="Arial"/>
                                <w:color w:val="000000"/>
                                <w:sz w:val="20"/>
                              </w:rPr>
                              <w:t>2.30%</w:t>
                            </w:r>
                          </w:p>
                        </w:tc>
                        <w:tc>
                          <w:tcPr>
                            <w:tcW w:w="1160" w:type="dxa"/>
                            <w:tcBorders>
                              <w:top w:val="nil"/>
                              <w:left w:val="nil"/>
                              <w:bottom w:val="nil"/>
                              <w:right w:val="nil"/>
                            </w:tcBorders>
                            <w:shd w:val="clear" w:color="auto" w:fill="auto"/>
                            <w:vAlign w:val="center"/>
                            <w:hideMark/>
                          </w:tcPr>
                          <w:p w14:paraId="58A35E67" w14:textId="77777777" w:rsidR="00D36D98" w:rsidRPr="00733404" w:rsidRDefault="00D36D98" w:rsidP="00D36D98">
                            <w:pPr>
                              <w:jc w:val="center"/>
                              <w:rPr>
                                <w:rFonts w:ascii="Arial" w:hAnsi="Arial" w:cs="Arial"/>
                                <w:color w:val="000000"/>
                                <w:sz w:val="20"/>
                              </w:rPr>
                            </w:pPr>
                            <w:r w:rsidRPr="00733404">
                              <w:rPr>
                                <w:rFonts w:ascii="Arial" w:hAnsi="Arial" w:cs="Arial"/>
                                <w:color w:val="000000"/>
                                <w:sz w:val="20"/>
                              </w:rPr>
                              <w:t>-4.38%</w:t>
                            </w:r>
                          </w:p>
                        </w:tc>
                        <w:tc>
                          <w:tcPr>
                            <w:tcW w:w="1160" w:type="dxa"/>
                            <w:tcBorders>
                              <w:top w:val="nil"/>
                              <w:left w:val="nil"/>
                              <w:bottom w:val="nil"/>
                              <w:right w:val="nil"/>
                            </w:tcBorders>
                            <w:shd w:val="clear" w:color="auto" w:fill="auto"/>
                            <w:noWrap/>
                            <w:vAlign w:val="center"/>
                            <w:hideMark/>
                          </w:tcPr>
                          <w:p w14:paraId="0E6980B8" w14:textId="77777777" w:rsidR="00D36D98" w:rsidRPr="00733404" w:rsidRDefault="00D36D98" w:rsidP="00D36D98">
                            <w:pPr>
                              <w:jc w:val="center"/>
                              <w:rPr>
                                <w:rFonts w:ascii="Arial" w:hAnsi="Arial" w:cs="Arial"/>
                                <w:color w:val="000000"/>
                                <w:sz w:val="20"/>
                              </w:rPr>
                            </w:pPr>
                            <w:r w:rsidRPr="00733404">
                              <w:rPr>
                                <w:rFonts w:ascii="Arial" w:hAnsi="Arial" w:cs="Arial"/>
                                <w:color w:val="000000"/>
                                <w:sz w:val="20"/>
                              </w:rPr>
                              <w:t>22.72%</w:t>
                            </w:r>
                          </w:p>
                        </w:tc>
                        <w:tc>
                          <w:tcPr>
                            <w:tcW w:w="1160" w:type="dxa"/>
                            <w:tcBorders>
                              <w:top w:val="nil"/>
                              <w:left w:val="nil"/>
                              <w:bottom w:val="nil"/>
                              <w:right w:val="nil"/>
                            </w:tcBorders>
                            <w:shd w:val="clear" w:color="auto" w:fill="auto"/>
                            <w:noWrap/>
                            <w:vAlign w:val="center"/>
                            <w:hideMark/>
                          </w:tcPr>
                          <w:p w14:paraId="007BCA85" w14:textId="77777777" w:rsidR="00D36D98" w:rsidRPr="00733404" w:rsidRDefault="00D36D98" w:rsidP="00D36D98">
                            <w:pPr>
                              <w:jc w:val="center"/>
                              <w:rPr>
                                <w:rFonts w:ascii="Arial" w:hAnsi="Arial" w:cs="Arial"/>
                                <w:color w:val="000000"/>
                                <w:sz w:val="20"/>
                              </w:rPr>
                            </w:pPr>
                            <w:r w:rsidRPr="00733404">
                              <w:rPr>
                                <w:rFonts w:ascii="Arial" w:hAnsi="Arial" w:cs="Arial"/>
                                <w:color w:val="000000"/>
                                <w:sz w:val="20"/>
                              </w:rPr>
                              <w:t>19.87%</w:t>
                            </w:r>
                          </w:p>
                        </w:tc>
                      </w:tr>
                      <w:tr w:rsidR="00D36D98" w:rsidRPr="00E34F67" w14:paraId="460CA521" w14:textId="77777777" w:rsidTr="00D36D98">
                        <w:trPr>
                          <w:trHeight w:val="240"/>
                        </w:trPr>
                        <w:tc>
                          <w:tcPr>
                            <w:tcW w:w="3220" w:type="dxa"/>
                            <w:tcBorders>
                              <w:top w:val="nil"/>
                              <w:left w:val="nil"/>
                              <w:bottom w:val="nil"/>
                              <w:right w:val="nil"/>
                            </w:tcBorders>
                            <w:shd w:val="clear" w:color="auto" w:fill="auto"/>
                            <w:vAlign w:val="center"/>
                            <w:hideMark/>
                          </w:tcPr>
                          <w:p w14:paraId="4902F722" w14:textId="77777777" w:rsidR="00D36D98" w:rsidRPr="00733404" w:rsidRDefault="00D36D98" w:rsidP="00D36D98">
                            <w:pPr>
                              <w:rPr>
                                <w:rFonts w:ascii="Arial" w:hAnsi="Arial" w:cs="Arial"/>
                                <w:sz w:val="20"/>
                              </w:rPr>
                            </w:pPr>
                            <w:r w:rsidRPr="00733404">
                              <w:rPr>
                                <w:rFonts w:ascii="Arial" w:hAnsi="Arial" w:cs="Arial"/>
                                <w:sz w:val="20"/>
                              </w:rPr>
                              <w:t xml:space="preserve">Boston </w:t>
                            </w:r>
                            <w:proofErr w:type="spellStart"/>
                            <w:r w:rsidRPr="00733404">
                              <w:rPr>
                                <w:rFonts w:ascii="Arial" w:hAnsi="Arial" w:cs="Arial"/>
                                <w:sz w:val="20"/>
                              </w:rPr>
                              <w:t>SmallMid</w:t>
                            </w:r>
                            <w:proofErr w:type="spellEnd"/>
                            <w:r w:rsidRPr="00733404">
                              <w:rPr>
                                <w:rFonts w:ascii="Arial" w:hAnsi="Arial" w:cs="Arial"/>
                                <w:sz w:val="20"/>
                              </w:rPr>
                              <w:t xml:space="preserve"> Cap Value</w:t>
                            </w:r>
                          </w:p>
                        </w:tc>
                        <w:tc>
                          <w:tcPr>
                            <w:tcW w:w="1600" w:type="dxa"/>
                            <w:tcBorders>
                              <w:top w:val="nil"/>
                              <w:left w:val="nil"/>
                              <w:bottom w:val="nil"/>
                              <w:right w:val="nil"/>
                            </w:tcBorders>
                            <w:shd w:val="clear" w:color="auto" w:fill="auto"/>
                            <w:noWrap/>
                            <w:vAlign w:val="center"/>
                            <w:hideMark/>
                          </w:tcPr>
                          <w:p w14:paraId="11CFC210" w14:textId="77777777" w:rsidR="00D36D98" w:rsidRPr="00733404" w:rsidRDefault="00D36D98" w:rsidP="00D36D98">
                            <w:pPr>
                              <w:jc w:val="right"/>
                              <w:rPr>
                                <w:rFonts w:ascii="Arial" w:hAnsi="Arial" w:cs="Arial"/>
                                <w:color w:val="000000"/>
                                <w:sz w:val="20"/>
                              </w:rPr>
                            </w:pPr>
                            <w:r w:rsidRPr="00733404">
                              <w:rPr>
                                <w:rFonts w:ascii="Arial" w:hAnsi="Arial" w:cs="Arial"/>
                                <w:color w:val="000000"/>
                                <w:sz w:val="20"/>
                              </w:rPr>
                              <w:t>$16,295,571.00</w:t>
                            </w:r>
                          </w:p>
                        </w:tc>
                        <w:tc>
                          <w:tcPr>
                            <w:tcW w:w="1160" w:type="dxa"/>
                            <w:tcBorders>
                              <w:top w:val="nil"/>
                              <w:left w:val="nil"/>
                              <w:bottom w:val="nil"/>
                              <w:right w:val="nil"/>
                            </w:tcBorders>
                            <w:shd w:val="clear" w:color="auto" w:fill="auto"/>
                            <w:noWrap/>
                            <w:vAlign w:val="center"/>
                            <w:hideMark/>
                          </w:tcPr>
                          <w:p w14:paraId="6A548E6A" w14:textId="77777777" w:rsidR="00D36D98" w:rsidRPr="00733404" w:rsidRDefault="00D36D98" w:rsidP="00D36D98">
                            <w:pPr>
                              <w:jc w:val="center"/>
                              <w:rPr>
                                <w:rFonts w:ascii="Arial" w:hAnsi="Arial" w:cs="Arial"/>
                                <w:color w:val="000000"/>
                                <w:sz w:val="20"/>
                              </w:rPr>
                            </w:pPr>
                            <w:r w:rsidRPr="00733404">
                              <w:rPr>
                                <w:rFonts w:ascii="Arial" w:hAnsi="Arial" w:cs="Arial"/>
                                <w:color w:val="000000"/>
                                <w:sz w:val="20"/>
                              </w:rPr>
                              <w:t>3.23%</w:t>
                            </w:r>
                          </w:p>
                        </w:tc>
                        <w:tc>
                          <w:tcPr>
                            <w:tcW w:w="1160" w:type="dxa"/>
                            <w:tcBorders>
                              <w:top w:val="nil"/>
                              <w:left w:val="nil"/>
                              <w:bottom w:val="nil"/>
                              <w:right w:val="nil"/>
                            </w:tcBorders>
                            <w:shd w:val="clear" w:color="auto" w:fill="auto"/>
                            <w:noWrap/>
                            <w:vAlign w:val="center"/>
                            <w:hideMark/>
                          </w:tcPr>
                          <w:p w14:paraId="48E877F6" w14:textId="77777777" w:rsidR="00D36D98" w:rsidRPr="00733404" w:rsidRDefault="00D36D98" w:rsidP="00D36D98">
                            <w:pPr>
                              <w:jc w:val="center"/>
                              <w:rPr>
                                <w:rFonts w:ascii="Arial" w:hAnsi="Arial" w:cs="Arial"/>
                                <w:color w:val="000000"/>
                                <w:sz w:val="20"/>
                              </w:rPr>
                            </w:pPr>
                            <w:r w:rsidRPr="00733404">
                              <w:rPr>
                                <w:rFonts w:ascii="Arial" w:hAnsi="Arial" w:cs="Arial"/>
                                <w:color w:val="000000"/>
                                <w:sz w:val="20"/>
                              </w:rPr>
                              <w:t>27.60%</w:t>
                            </w:r>
                          </w:p>
                        </w:tc>
                        <w:tc>
                          <w:tcPr>
                            <w:tcW w:w="1160" w:type="dxa"/>
                            <w:tcBorders>
                              <w:top w:val="nil"/>
                              <w:left w:val="nil"/>
                              <w:bottom w:val="nil"/>
                              <w:right w:val="nil"/>
                            </w:tcBorders>
                            <w:shd w:val="clear" w:color="auto" w:fill="auto"/>
                            <w:vAlign w:val="center"/>
                            <w:hideMark/>
                          </w:tcPr>
                          <w:p w14:paraId="194EF116" w14:textId="77777777" w:rsidR="00D36D98" w:rsidRPr="00733404" w:rsidRDefault="00D36D98" w:rsidP="00D36D98">
                            <w:pPr>
                              <w:jc w:val="center"/>
                              <w:rPr>
                                <w:rFonts w:ascii="Arial" w:hAnsi="Arial" w:cs="Arial"/>
                                <w:sz w:val="20"/>
                              </w:rPr>
                            </w:pPr>
                            <w:r w:rsidRPr="00733404">
                              <w:rPr>
                                <w:rFonts w:ascii="Arial" w:hAnsi="Arial" w:cs="Arial"/>
                                <w:sz w:val="20"/>
                              </w:rPr>
                              <w:t>-</w:t>
                            </w:r>
                          </w:p>
                        </w:tc>
                        <w:tc>
                          <w:tcPr>
                            <w:tcW w:w="1160" w:type="dxa"/>
                            <w:tcBorders>
                              <w:top w:val="nil"/>
                              <w:left w:val="nil"/>
                              <w:bottom w:val="nil"/>
                              <w:right w:val="nil"/>
                            </w:tcBorders>
                            <w:shd w:val="clear" w:color="auto" w:fill="auto"/>
                            <w:hideMark/>
                          </w:tcPr>
                          <w:p w14:paraId="04838EDF" w14:textId="77777777" w:rsidR="00D36D98" w:rsidRPr="00733404" w:rsidRDefault="00D36D98" w:rsidP="00D36D98">
                            <w:pPr>
                              <w:jc w:val="center"/>
                              <w:rPr>
                                <w:rFonts w:ascii="Arial" w:hAnsi="Arial" w:cs="Arial"/>
                                <w:sz w:val="20"/>
                              </w:rPr>
                            </w:pPr>
                            <w:r w:rsidRPr="00733404">
                              <w:rPr>
                                <w:rFonts w:ascii="Arial" w:hAnsi="Arial" w:cs="Arial"/>
                                <w:sz w:val="20"/>
                              </w:rPr>
                              <w:t>-</w:t>
                            </w:r>
                          </w:p>
                        </w:tc>
                      </w:tr>
                      <w:tr w:rsidR="00D36D98" w:rsidRPr="00E34F67" w14:paraId="6B1111EE" w14:textId="77777777" w:rsidTr="00D36D98">
                        <w:trPr>
                          <w:trHeight w:val="240"/>
                        </w:trPr>
                        <w:tc>
                          <w:tcPr>
                            <w:tcW w:w="3220" w:type="dxa"/>
                            <w:tcBorders>
                              <w:top w:val="nil"/>
                              <w:left w:val="nil"/>
                              <w:bottom w:val="nil"/>
                              <w:right w:val="nil"/>
                            </w:tcBorders>
                            <w:shd w:val="clear" w:color="auto" w:fill="auto"/>
                            <w:vAlign w:val="center"/>
                            <w:hideMark/>
                          </w:tcPr>
                          <w:p w14:paraId="6E27AB97" w14:textId="19E15A90" w:rsidR="00D36D98" w:rsidRPr="00733404" w:rsidRDefault="00D36D98" w:rsidP="00D36D98">
                            <w:pPr>
                              <w:rPr>
                                <w:rFonts w:ascii="Arial" w:hAnsi="Arial" w:cs="Arial"/>
                                <w:sz w:val="20"/>
                              </w:rPr>
                            </w:pPr>
                            <w:r w:rsidRPr="00733404">
                              <w:rPr>
                                <w:rFonts w:ascii="Arial" w:hAnsi="Arial" w:cs="Arial"/>
                                <w:sz w:val="20"/>
                              </w:rPr>
                              <w:t>Mesirow SMC Value CIT</w:t>
                            </w:r>
                          </w:p>
                        </w:tc>
                        <w:tc>
                          <w:tcPr>
                            <w:tcW w:w="1600" w:type="dxa"/>
                            <w:tcBorders>
                              <w:top w:val="nil"/>
                              <w:left w:val="nil"/>
                              <w:bottom w:val="nil"/>
                              <w:right w:val="nil"/>
                            </w:tcBorders>
                            <w:shd w:val="clear" w:color="auto" w:fill="auto"/>
                            <w:vAlign w:val="center"/>
                            <w:hideMark/>
                          </w:tcPr>
                          <w:p w14:paraId="02EEC070" w14:textId="77777777" w:rsidR="00D36D98" w:rsidRPr="00733404" w:rsidRDefault="00D36D98" w:rsidP="00D36D98">
                            <w:pPr>
                              <w:jc w:val="right"/>
                              <w:rPr>
                                <w:rFonts w:ascii="Arial" w:hAnsi="Arial" w:cs="Arial"/>
                                <w:sz w:val="20"/>
                              </w:rPr>
                            </w:pPr>
                            <w:r w:rsidRPr="00733404">
                              <w:rPr>
                                <w:rFonts w:ascii="Arial" w:hAnsi="Arial" w:cs="Arial"/>
                                <w:sz w:val="20"/>
                              </w:rPr>
                              <w:t>$17,991,868.00</w:t>
                            </w:r>
                          </w:p>
                        </w:tc>
                        <w:tc>
                          <w:tcPr>
                            <w:tcW w:w="1160" w:type="dxa"/>
                            <w:tcBorders>
                              <w:top w:val="nil"/>
                              <w:left w:val="nil"/>
                              <w:bottom w:val="nil"/>
                              <w:right w:val="nil"/>
                            </w:tcBorders>
                            <w:shd w:val="clear" w:color="auto" w:fill="auto"/>
                            <w:vAlign w:val="center"/>
                            <w:hideMark/>
                          </w:tcPr>
                          <w:p w14:paraId="1C59307A" w14:textId="77777777" w:rsidR="00D36D98" w:rsidRPr="00733404" w:rsidRDefault="00D36D98" w:rsidP="00D36D98">
                            <w:pPr>
                              <w:jc w:val="center"/>
                              <w:rPr>
                                <w:rFonts w:ascii="Arial" w:hAnsi="Arial" w:cs="Arial"/>
                                <w:sz w:val="20"/>
                              </w:rPr>
                            </w:pPr>
                            <w:r w:rsidRPr="00733404">
                              <w:rPr>
                                <w:rFonts w:ascii="Arial" w:hAnsi="Arial" w:cs="Arial"/>
                                <w:sz w:val="20"/>
                              </w:rPr>
                              <w:t>3.56%</w:t>
                            </w:r>
                          </w:p>
                        </w:tc>
                        <w:tc>
                          <w:tcPr>
                            <w:tcW w:w="1160" w:type="dxa"/>
                            <w:tcBorders>
                              <w:top w:val="nil"/>
                              <w:left w:val="nil"/>
                              <w:bottom w:val="nil"/>
                              <w:right w:val="nil"/>
                            </w:tcBorders>
                            <w:shd w:val="clear" w:color="auto" w:fill="auto"/>
                            <w:noWrap/>
                            <w:vAlign w:val="center"/>
                            <w:hideMark/>
                          </w:tcPr>
                          <w:p w14:paraId="24A57D1C" w14:textId="77777777" w:rsidR="00D36D98" w:rsidRPr="00733404" w:rsidRDefault="00D36D98" w:rsidP="00D36D98">
                            <w:pPr>
                              <w:jc w:val="center"/>
                              <w:rPr>
                                <w:rFonts w:ascii="Arial" w:hAnsi="Arial" w:cs="Arial"/>
                                <w:color w:val="000000"/>
                                <w:sz w:val="20"/>
                              </w:rPr>
                            </w:pPr>
                            <w:r w:rsidRPr="00733404">
                              <w:rPr>
                                <w:rFonts w:ascii="Arial" w:hAnsi="Arial" w:cs="Arial"/>
                                <w:color w:val="000000"/>
                                <w:sz w:val="20"/>
                              </w:rPr>
                              <w:t>26.89%</w:t>
                            </w:r>
                          </w:p>
                        </w:tc>
                        <w:tc>
                          <w:tcPr>
                            <w:tcW w:w="1160" w:type="dxa"/>
                            <w:tcBorders>
                              <w:top w:val="nil"/>
                              <w:left w:val="nil"/>
                              <w:bottom w:val="nil"/>
                              <w:right w:val="nil"/>
                            </w:tcBorders>
                            <w:shd w:val="clear" w:color="auto" w:fill="auto"/>
                            <w:vAlign w:val="center"/>
                            <w:hideMark/>
                          </w:tcPr>
                          <w:p w14:paraId="7BBD5BE8" w14:textId="77777777" w:rsidR="00D36D98" w:rsidRPr="00733404" w:rsidRDefault="00D36D98" w:rsidP="00D36D98">
                            <w:pPr>
                              <w:jc w:val="center"/>
                              <w:rPr>
                                <w:rFonts w:ascii="Arial" w:hAnsi="Arial" w:cs="Arial"/>
                                <w:sz w:val="20"/>
                              </w:rPr>
                            </w:pPr>
                            <w:r w:rsidRPr="00733404">
                              <w:rPr>
                                <w:rFonts w:ascii="Arial" w:hAnsi="Arial" w:cs="Arial"/>
                                <w:sz w:val="20"/>
                              </w:rPr>
                              <w:t>-</w:t>
                            </w:r>
                          </w:p>
                        </w:tc>
                        <w:tc>
                          <w:tcPr>
                            <w:tcW w:w="1160" w:type="dxa"/>
                            <w:tcBorders>
                              <w:top w:val="nil"/>
                              <w:left w:val="nil"/>
                              <w:bottom w:val="nil"/>
                              <w:right w:val="nil"/>
                            </w:tcBorders>
                            <w:shd w:val="clear" w:color="auto" w:fill="auto"/>
                            <w:hideMark/>
                          </w:tcPr>
                          <w:p w14:paraId="2A7BD116" w14:textId="77777777" w:rsidR="00D36D98" w:rsidRPr="00733404" w:rsidRDefault="00D36D98" w:rsidP="00D36D98">
                            <w:pPr>
                              <w:jc w:val="center"/>
                              <w:rPr>
                                <w:rFonts w:ascii="Arial" w:hAnsi="Arial" w:cs="Arial"/>
                                <w:sz w:val="20"/>
                              </w:rPr>
                            </w:pPr>
                            <w:r w:rsidRPr="00733404">
                              <w:rPr>
                                <w:rFonts w:ascii="Arial" w:hAnsi="Arial" w:cs="Arial"/>
                                <w:sz w:val="20"/>
                              </w:rPr>
                              <w:t>-</w:t>
                            </w:r>
                          </w:p>
                        </w:tc>
                      </w:tr>
                      <w:tr w:rsidR="00D36D98" w:rsidRPr="00E34F67" w14:paraId="7AB6DE9C" w14:textId="77777777" w:rsidTr="00D36D98">
                        <w:trPr>
                          <w:trHeight w:val="240"/>
                        </w:trPr>
                        <w:tc>
                          <w:tcPr>
                            <w:tcW w:w="3220" w:type="dxa"/>
                            <w:tcBorders>
                              <w:top w:val="nil"/>
                              <w:left w:val="nil"/>
                              <w:bottom w:val="nil"/>
                              <w:right w:val="nil"/>
                            </w:tcBorders>
                            <w:shd w:val="clear" w:color="auto" w:fill="auto"/>
                            <w:hideMark/>
                          </w:tcPr>
                          <w:p w14:paraId="08E9C89B" w14:textId="77777777" w:rsidR="00D36D98" w:rsidRPr="00733404" w:rsidRDefault="00D36D98" w:rsidP="00D36D98">
                            <w:pPr>
                              <w:rPr>
                                <w:rFonts w:ascii="Arial" w:hAnsi="Arial" w:cs="Arial"/>
                                <w:b/>
                                <w:bCs/>
                                <w:sz w:val="20"/>
                              </w:rPr>
                            </w:pPr>
                            <w:r w:rsidRPr="00733404">
                              <w:rPr>
                                <w:rFonts w:ascii="Arial" w:hAnsi="Arial" w:cs="Arial"/>
                                <w:b/>
                                <w:bCs/>
                                <w:sz w:val="20"/>
                              </w:rPr>
                              <w:t>International Equity</w:t>
                            </w:r>
                          </w:p>
                        </w:tc>
                        <w:tc>
                          <w:tcPr>
                            <w:tcW w:w="1600" w:type="dxa"/>
                            <w:tcBorders>
                              <w:top w:val="nil"/>
                              <w:left w:val="nil"/>
                              <w:bottom w:val="nil"/>
                              <w:right w:val="nil"/>
                            </w:tcBorders>
                            <w:shd w:val="clear" w:color="auto" w:fill="auto"/>
                            <w:vAlign w:val="center"/>
                            <w:hideMark/>
                          </w:tcPr>
                          <w:p w14:paraId="0BC1A094" w14:textId="77777777" w:rsidR="00D36D98" w:rsidRPr="00733404" w:rsidRDefault="00D36D98" w:rsidP="00D36D98">
                            <w:pPr>
                              <w:jc w:val="right"/>
                              <w:rPr>
                                <w:rFonts w:ascii="Arial" w:hAnsi="Arial" w:cs="Arial"/>
                                <w:b/>
                                <w:bCs/>
                                <w:sz w:val="20"/>
                              </w:rPr>
                            </w:pPr>
                            <w:r w:rsidRPr="00733404">
                              <w:rPr>
                                <w:rFonts w:ascii="Arial" w:hAnsi="Arial" w:cs="Arial"/>
                                <w:b/>
                                <w:bCs/>
                                <w:sz w:val="20"/>
                              </w:rPr>
                              <w:t>$124,961,988.00</w:t>
                            </w:r>
                          </w:p>
                        </w:tc>
                        <w:tc>
                          <w:tcPr>
                            <w:tcW w:w="1160" w:type="dxa"/>
                            <w:tcBorders>
                              <w:top w:val="nil"/>
                              <w:left w:val="nil"/>
                              <w:bottom w:val="nil"/>
                              <w:right w:val="nil"/>
                            </w:tcBorders>
                            <w:shd w:val="clear" w:color="auto" w:fill="auto"/>
                            <w:hideMark/>
                          </w:tcPr>
                          <w:p w14:paraId="1E39FF12" w14:textId="77777777" w:rsidR="00D36D98" w:rsidRPr="00733404" w:rsidRDefault="00D36D98" w:rsidP="00D36D98">
                            <w:pPr>
                              <w:jc w:val="center"/>
                              <w:rPr>
                                <w:rFonts w:ascii="Arial" w:hAnsi="Arial" w:cs="Arial"/>
                                <w:b/>
                                <w:bCs/>
                                <w:sz w:val="20"/>
                              </w:rPr>
                            </w:pPr>
                            <w:r w:rsidRPr="00733404">
                              <w:rPr>
                                <w:rFonts w:ascii="Arial" w:hAnsi="Arial" w:cs="Arial"/>
                                <w:b/>
                                <w:bCs/>
                                <w:sz w:val="20"/>
                              </w:rPr>
                              <w:t>24.74%</w:t>
                            </w:r>
                          </w:p>
                        </w:tc>
                        <w:tc>
                          <w:tcPr>
                            <w:tcW w:w="1160" w:type="dxa"/>
                            <w:tcBorders>
                              <w:top w:val="nil"/>
                              <w:left w:val="nil"/>
                              <w:bottom w:val="nil"/>
                              <w:right w:val="nil"/>
                            </w:tcBorders>
                            <w:shd w:val="clear" w:color="auto" w:fill="auto"/>
                            <w:noWrap/>
                            <w:hideMark/>
                          </w:tcPr>
                          <w:p w14:paraId="31FB1CF2" w14:textId="77777777" w:rsidR="00D36D98" w:rsidRPr="00733404" w:rsidRDefault="00D36D98" w:rsidP="00D36D98">
                            <w:pPr>
                              <w:jc w:val="center"/>
                              <w:rPr>
                                <w:rFonts w:ascii="Arial" w:hAnsi="Arial" w:cs="Arial"/>
                                <w:b/>
                                <w:bCs/>
                                <w:color w:val="000000"/>
                                <w:sz w:val="20"/>
                              </w:rPr>
                            </w:pPr>
                            <w:r w:rsidRPr="00733404">
                              <w:rPr>
                                <w:rFonts w:ascii="Arial" w:hAnsi="Arial" w:cs="Arial"/>
                                <w:b/>
                                <w:bCs/>
                                <w:color w:val="000000"/>
                                <w:sz w:val="20"/>
                              </w:rPr>
                              <w:t>10.70%</w:t>
                            </w:r>
                          </w:p>
                        </w:tc>
                        <w:tc>
                          <w:tcPr>
                            <w:tcW w:w="1160" w:type="dxa"/>
                            <w:tcBorders>
                              <w:top w:val="nil"/>
                              <w:left w:val="nil"/>
                              <w:bottom w:val="nil"/>
                              <w:right w:val="nil"/>
                            </w:tcBorders>
                            <w:shd w:val="clear" w:color="auto" w:fill="auto"/>
                            <w:noWrap/>
                            <w:hideMark/>
                          </w:tcPr>
                          <w:p w14:paraId="09924DBA" w14:textId="77777777" w:rsidR="00D36D98" w:rsidRPr="00733404" w:rsidRDefault="00D36D98" w:rsidP="00D36D98">
                            <w:pPr>
                              <w:jc w:val="center"/>
                              <w:rPr>
                                <w:rFonts w:ascii="Arial" w:hAnsi="Arial" w:cs="Arial"/>
                                <w:b/>
                                <w:bCs/>
                                <w:color w:val="000000"/>
                                <w:sz w:val="20"/>
                              </w:rPr>
                            </w:pPr>
                            <w:r w:rsidRPr="00733404">
                              <w:rPr>
                                <w:rFonts w:ascii="Arial" w:hAnsi="Arial" w:cs="Arial"/>
                                <w:b/>
                                <w:bCs/>
                                <w:color w:val="000000"/>
                                <w:sz w:val="20"/>
                              </w:rPr>
                              <w:t>15.18%</w:t>
                            </w:r>
                          </w:p>
                        </w:tc>
                        <w:tc>
                          <w:tcPr>
                            <w:tcW w:w="1160" w:type="dxa"/>
                            <w:tcBorders>
                              <w:top w:val="nil"/>
                              <w:left w:val="nil"/>
                              <w:bottom w:val="nil"/>
                              <w:right w:val="nil"/>
                            </w:tcBorders>
                            <w:shd w:val="clear" w:color="auto" w:fill="auto"/>
                            <w:noWrap/>
                            <w:hideMark/>
                          </w:tcPr>
                          <w:p w14:paraId="4CBC9BEE" w14:textId="77777777" w:rsidR="00D36D98" w:rsidRPr="00733404" w:rsidRDefault="00D36D98" w:rsidP="00D36D98">
                            <w:pPr>
                              <w:jc w:val="center"/>
                              <w:rPr>
                                <w:rFonts w:ascii="Arial" w:hAnsi="Arial" w:cs="Arial"/>
                                <w:b/>
                                <w:bCs/>
                                <w:color w:val="000000"/>
                                <w:sz w:val="20"/>
                              </w:rPr>
                            </w:pPr>
                            <w:r w:rsidRPr="00733404">
                              <w:rPr>
                                <w:rFonts w:ascii="Arial" w:hAnsi="Arial" w:cs="Arial"/>
                                <w:b/>
                                <w:bCs/>
                                <w:color w:val="000000"/>
                                <w:sz w:val="20"/>
                              </w:rPr>
                              <w:t>10.27%</w:t>
                            </w:r>
                          </w:p>
                        </w:tc>
                      </w:tr>
                      <w:tr w:rsidR="00D36D98" w:rsidRPr="00E34F67" w14:paraId="604F47C2" w14:textId="77777777" w:rsidTr="00D36D98">
                        <w:trPr>
                          <w:trHeight w:val="240"/>
                        </w:trPr>
                        <w:tc>
                          <w:tcPr>
                            <w:tcW w:w="3220" w:type="dxa"/>
                            <w:tcBorders>
                              <w:top w:val="nil"/>
                              <w:left w:val="nil"/>
                              <w:bottom w:val="nil"/>
                              <w:right w:val="nil"/>
                            </w:tcBorders>
                            <w:shd w:val="clear" w:color="auto" w:fill="auto"/>
                            <w:hideMark/>
                          </w:tcPr>
                          <w:p w14:paraId="54870F1E" w14:textId="594DA5CA" w:rsidR="00D36D98" w:rsidRPr="00733404" w:rsidRDefault="00D36D98" w:rsidP="00D36D98">
                            <w:pPr>
                              <w:rPr>
                                <w:rFonts w:ascii="Arial" w:hAnsi="Arial" w:cs="Arial"/>
                                <w:sz w:val="20"/>
                              </w:rPr>
                            </w:pPr>
                            <w:r w:rsidRPr="00733404">
                              <w:rPr>
                                <w:rFonts w:ascii="Arial" w:hAnsi="Arial" w:cs="Arial"/>
                                <w:sz w:val="20"/>
                              </w:rPr>
                              <w:t>Harding Loevner Intl Eq CIT</w:t>
                            </w:r>
                          </w:p>
                        </w:tc>
                        <w:tc>
                          <w:tcPr>
                            <w:tcW w:w="1600" w:type="dxa"/>
                            <w:tcBorders>
                              <w:top w:val="nil"/>
                              <w:left w:val="nil"/>
                              <w:bottom w:val="nil"/>
                              <w:right w:val="nil"/>
                            </w:tcBorders>
                            <w:shd w:val="clear" w:color="auto" w:fill="auto"/>
                            <w:vAlign w:val="center"/>
                            <w:hideMark/>
                          </w:tcPr>
                          <w:p w14:paraId="5C5BC2E5" w14:textId="77777777" w:rsidR="00D36D98" w:rsidRPr="00733404" w:rsidRDefault="00D36D98" w:rsidP="00D36D98">
                            <w:pPr>
                              <w:jc w:val="right"/>
                              <w:rPr>
                                <w:rFonts w:ascii="Arial" w:hAnsi="Arial" w:cs="Arial"/>
                                <w:sz w:val="20"/>
                              </w:rPr>
                            </w:pPr>
                            <w:r w:rsidRPr="00733404">
                              <w:rPr>
                                <w:rFonts w:ascii="Arial" w:hAnsi="Arial" w:cs="Arial"/>
                                <w:sz w:val="20"/>
                              </w:rPr>
                              <w:t>$61,683,430.00</w:t>
                            </w:r>
                          </w:p>
                        </w:tc>
                        <w:tc>
                          <w:tcPr>
                            <w:tcW w:w="1160" w:type="dxa"/>
                            <w:tcBorders>
                              <w:top w:val="nil"/>
                              <w:left w:val="nil"/>
                              <w:bottom w:val="nil"/>
                              <w:right w:val="nil"/>
                            </w:tcBorders>
                            <w:shd w:val="clear" w:color="auto" w:fill="auto"/>
                            <w:hideMark/>
                          </w:tcPr>
                          <w:p w14:paraId="4750B298" w14:textId="77777777" w:rsidR="00D36D98" w:rsidRPr="00733404" w:rsidRDefault="00D36D98" w:rsidP="00D36D98">
                            <w:pPr>
                              <w:jc w:val="center"/>
                              <w:rPr>
                                <w:rFonts w:ascii="Arial" w:hAnsi="Arial" w:cs="Arial"/>
                                <w:sz w:val="20"/>
                              </w:rPr>
                            </w:pPr>
                            <w:r w:rsidRPr="00733404">
                              <w:rPr>
                                <w:rFonts w:ascii="Arial" w:hAnsi="Arial" w:cs="Arial"/>
                                <w:sz w:val="20"/>
                              </w:rPr>
                              <w:t>12.21%</w:t>
                            </w:r>
                          </w:p>
                        </w:tc>
                        <w:tc>
                          <w:tcPr>
                            <w:tcW w:w="1160" w:type="dxa"/>
                            <w:tcBorders>
                              <w:top w:val="nil"/>
                              <w:left w:val="nil"/>
                              <w:bottom w:val="nil"/>
                              <w:right w:val="nil"/>
                            </w:tcBorders>
                            <w:shd w:val="clear" w:color="auto" w:fill="auto"/>
                            <w:noWrap/>
                            <w:hideMark/>
                          </w:tcPr>
                          <w:p w14:paraId="7DE03E2B" w14:textId="77777777" w:rsidR="00D36D98" w:rsidRPr="00733404" w:rsidRDefault="00D36D98" w:rsidP="00D36D98">
                            <w:pPr>
                              <w:jc w:val="center"/>
                              <w:rPr>
                                <w:rFonts w:ascii="Arial" w:hAnsi="Arial" w:cs="Arial"/>
                                <w:color w:val="000000"/>
                                <w:sz w:val="20"/>
                              </w:rPr>
                            </w:pPr>
                            <w:r w:rsidRPr="00733404">
                              <w:rPr>
                                <w:rFonts w:ascii="Arial" w:hAnsi="Arial" w:cs="Arial"/>
                                <w:color w:val="000000"/>
                                <w:sz w:val="20"/>
                              </w:rPr>
                              <w:t>8.55%</w:t>
                            </w:r>
                          </w:p>
                        </w:tc>
                        <w:tc>
                          <w:tcPr>
                            <w:tcW w:w="1160" w:type="dxa"/>
                            <w:tcBorders>
                              <w:top w:val="nil"/>
                              <w:left w:val="nil"/>
                              <w:bottom w:val="nil"/>
                              <w:right w:val="nil"/>
                            </w:tcBorders>
                            <w:shd w:val="clear" w:color="auto" w:fill="auto"/>
                            <w:noWrap/>
                            <w:hideMark/>
                          </w:tcPr>
                          <w:p w14:paraId="1EBDE65E" w14:textId="77777777" w:rsidR="00D36D98" w:rsidRPr="00733404" w:rsidRDefault="00D36D98" w:rsidP="00D36D98">
                            <w:pPr>
                              <w:jc w:val="center"/>
                              <w:rPr>
                                <w:rFonts w:ascii="Arial" w:hAnsi="Arial" w:cs="Arial"/>
                                <w:color w:val="000000"/>
                                <w:sz w:val="20"/>
                              </w:rPr>
                            </w:pPr>
                            <w:r w:rsidRPr="00733404">
                              <w:rPr>
                                <w:rFonts w:ascii="Arial" w:hAnsi="Arial" w:cs="Arial"/>
                                <w:color w:val="000000"/>
                                <w:sz w:val="20"/>
                              </w:rPr>
                              <w:t>18.02%</w:t>
                            </w:r>
                          </w:p>
                        </w:tc>
                        <w:tc>
                          <w:tcPr>
                            <w:tcW w:w="1160" w:type="dxa"/>
                            <w:tcBorders>
                              <w:top w:val="nil"/>
                              <w:left w:val="nil"/>
                              <w:bottom w:val="nil"/>
                              <w:right w:val="nil"/>
                            </w:tcBorders>
                            <w:shd w:val="clear" w:color="auto" w:fill="auto"/>
                            <w:hideMark/>
                          </w:tcPr>
                          <w:p w14:paraId="763B699B" w14:textId="77777777" w:rsidR="00D36D98" w:rsidRPr="00733404" w:rsidRDefault="00D36D98" w:rsidP="00D36D98">
                            <w:pPr>
                              <w:jc w:val="center"/>
                              <w:rPr>
                                <w:rFonts w:ascii="Arial" w:hAnsi="Arial" w:cs="Arial"/>
                                <w:sz w:val="20"/>
                              </w:rPr>
                            </w:pPr>
                            <w:r w:rsidRPr="00733404">
                              <w:rPr>
                                <w:rFonts w:ascii="Arial" w:hAnsi="Arial" w:cs="Arial"/>
                                <w:sz w:val="20"/>
                              </w:rPr>
                              <w:t>-</w:t>
                            </w:r>
                          </w:p>
                        </w:tc>
                      </w:tr>
                      <w:tr w:rsidR="00D36D98" w:rsidRPr="00E34F67" w14:paraId="7F2FAFB4" w14:textId="77777777" w:rsidTr="00D36D98">
                        <w:trPr>
                          <w:trHeight w:val="240"/>
                        </w:trPr>
                        <w:tc>
                          <w:tcPr>
                            <w:tcW w:w="3220" w:type="dxa"/>
                            <w:tcBorders>
                              <w:top w:val="nil"/>
                              <w:left w:val="nil"/>
                              <w:bottom w:val="nil"/>
                              <w:right w:val="nil"/>
                            </w:tcBorders>
                            <w:shd w:val="clear" w:color="auto" w:fill="auto"/>
                            <w:vAlign w:val="center"/>
                            <w:hideMark/>
                          </w:tcPr>
                          <w:p w14:paraId="5C80BF68" w14:textId="51782596" w:rsidR="00D36D98" w:rsidRPr="00733404" w:rsidRDefault="00D36D98" w:rsidP="00D36D98">
                            <w:pPr>
                              <w:rPr>
                                <w:rFonts w:ascii="Arial" w:hAnsi="Arial" w:cs="Arial"/>
                                <w:sz w:val="20"/>
                              </w:rPr>
                            </w:pPr>
                            <w:r w:rsidRPr="00733404">
                              <w:rPr>
                                <w:rFonts w:ascii="Arial" w:hAnsi="Arial" w:cs="Arial"/>
                                <w:sz w:val="20"/>
                              </w:rPr>
                              <w:t>SGA Intl Equity CIT</w:t>
                            </w:r>
                          </w:p>
                        </w:tc>
                        <w:tc>
                          <w:tcPr>
                            <w:tcW w:w="1600" w:type="dxa"/>
                            <w:tcBorders>
                              <w:top w:val="nil"/>
                              <w:left w:val="nil"/>
                              <w:bottom w:val="nil"/>
                              <w:right w:val="nil"/>
                            </w:tcBorders>
                            <w:shd w:val="clear" w:color="auto" w:fill="auto"/>
                            <w:vAlign w:val="center"/>
                            <w:hideMark/>
                          </w:tcPr>
                          <w:p w14:paraId="523BE221" w14:textId="77777777" w:rsidR="00D36D98" w:rsidRPr="00733404" w:rsidRDefault="00D36D98" w:rsidP="00D36D98">
                            <w:pPr>
                              <w:jc w:val="right"/>
                              <w:rPr>
                                <w:rFonts w:ascii="Arial" w:hAnsi="Arial" w:cs="Arial"/>
                                <w:sz w:val="20"/>
                              </w:rPr>
                            </w:pPr>
                            <w:r w:rsidRPr="00733404">
                              <w:rPr>
                                <w:rFonts w:ascii="Arial" w:hAnsi="Arial" w:cs="Arial"/>
                                <w:sz w:val="20"/>
                              </w:rPr>
                              <w:t>$63,278,558.00</w:t>
                            </w:r>
                          </w:p>
                        </w:tc>
                        <w:tc>
                          <w:tcPr>
                            <w:tcW w:w="1160" w:type="dxa"/>
                            <w:tcBorders>
                              <w:top w:val="nil"/>
                              <w:left w:val="nil"/>
                              <w:bottom w:val="nil"/>
                              <w:right w:val="nil"/>
                            </w:tcBorders>
                            <w:shd w:val="clear" w:color="auto" w:fill="auto"/>
                            <w:noWrap/>
                            <w:vAlign w:val="center"/>
                            <w:hideMark/>
                          </w:tcPr>
                          <w:p w14:paraId="5E5EF4A9" w14:textId="77777777" w:rsidR="00D36D98" w:rsidRPr="00733404" w:rsidRDefault="00D36D98" w:rsidP="00D36D98">
                            <w:pPr>
                              <w:jc w:val="center"/>
                              <w:rPr>
                                <w:rFonts w:ascii="Arial" w:hAnsi="Arial" w:cs="Arial"/>
                                <w:color w:val="000000"/>
                                <w:sz w:val="20"/>
                              </w:rPr>
                            </w:pPr>
                            <w:r w:rsidRPr="00733404">
                              <w:rPr>
                                <w:rFonts w:ascii="Arial" w:hAnsi="Arial" w:cs="Arial"/>
                                <w:color w:val="000000"/>
                                <w:sz w:val="20"/>
                              </w:rPr>
                              <w:t>12.53%</w:t>
                            </w:r>
                          </w:p>
                        </w:tc>
                        <w:tc>
                          <w:tcPr>
                            <w:tcW w:w="1160" w:type="dxa"/>
                            <w:tcBorders>
                              <w:top w:val="nil"/>
                              <w:left w:val="nil"/>
                              <w:bottom w:val="nil"/>
                              <w:right w:val="nil"/>
                            </w:tcBorders>
                            <w:shd w:val="clear" w:color="auto" w:fill="auto"/>
                            <w:noWrap/>
                            <w:vAlign w:val="center"/>
                            <w:hideMark/>
                          </w:tcPr>
                          <w:p w14:paraId="7BDCEE14" w14:textId="77777777" w:rsidR="00D36D98" w:rsidRPr="00733404" w:rsidRDefault="00D36D98" w:rsidP="00D36D98">
                            <w:pPr>
                              <w:jc w:val="center"/>
                              <w:rPr>
                                <w:rFonts w:ascii="Arial" w:hAnsi="Arial" w:cs="Arial"/>
                                <w:color w:val="000000"/>
                                <w:sz w:val="20"/>
                              </w:rPr>
                            </w:pPr>
                            <w:r w:rsidRPr="00733404">
                              <w:rPr>
                                <w:rFonts w:ascii="Arial" w:hAnsi="Arial" w:cs="Arial"/>
                                <w:color w:val="000000"/>
                                <w:sz w:val="20"/>
                              </w:rPr>
                              <w:t>12.85%</w:t>
                            </w:r>
                          </w:p>
                        </w:tc>
                        <w:tc>
                          <w:tcPr>
                            <w:tcW w:w="1160" w:type="dxa"/>
                            <w:tcBorders>
                              <w:top w:val="nil"/>
                              <w:left w:val="nil"/>
                              <w:bottom w:val="nil"/>
                              <w:right w:val="nil"/>
                            </w:tcBorders>
                            <w:shd w:val="clear" w:color="auto" w:fill="auto"/>
                            <w:noWrap/>
                            <w:vAlign w:val="center"/>
                            <w:hideMark/>
                          </w:tcPr>
                          <w:p w14:paraId="65A66AAD" w14:textId="77777777" w:rsidR="00D36D98" w:rsidRPr="00733404" w:rsidRDefault="00D36D98" w:rsidP="00D36D98">
                            <w:pPr>
                              <w:jc w:val="center"/>
                              <w:rPr>
                                <w:rFonts w:ascii="Arial" w:hAnsi="Arial" w:cs="Arial"/>
                                <w:color w:val="000000"/>
                                <w:sz w:val="20"/>
                              </w:rPr>
                            </w:pPr>
                            <w:r w:rsidRPr="00733404">
                              <w:rPr>
                                <w:rFonts w:ascii="Arial" w:hAnsi="Arial" w:cs="Arial"/>
                                <w:color w:val="000000"/>
                                <w:sz w:val="20"/>
                              </w:rPr>
                              <w:t>12.23%</w:t>
                            </w:r>
                          </w:p>
                        </w:tc>
                        <w:tc>
                          <w:tcPr>
                            <w:tcW w:w="1160" w:type="dxa"/>
                            <w:tcBorders>
                              <w:top w:val="nil"/>
                              <w:left w:val="nil"/>
                              <w:bottom w:val="nil"/>
                              <w:right w:val="nil"/>
                            </w:tcBorders>
                            <w:shd w:val="clear" w:color="auto" w:fill="auto"/>
                            <w:vAlign w:val="center"/>
                            <w:hideMark/>
                          </w:tcPr>
                          <w:p w14:paraId="3C5760F7" w14:textId="77777777" w:rsidR="00D36D98" w:rsidRPr="00733404" w:rsidRDefault="00D36D98" w:rsidP="00D36D98">
                            <w:pPr>
                              <w:jc w:val="center"/>
                              <w:rPr>
                                <w:rFonts w:ascii="Arial" w:hAnsi="Arial" w:cs="Arial"/>
                                <w:sz w:val="20"/>
                              </w:rPr>
                            </w:pPr>
                            <w:r w:rsidRPr="00733404">
                              <w:rPr>
                                <w:rFonts w:ascii="Arial" w:hAnsi="Arial" w:cs="Arial"/>
                                <w:sz w:val="20"/>
                              </w:rPr>
                              <w:t>-</w:t>
                            </w:r>
                          </w:p>
                        </w:tc>
                      </w:tr>
                      <w:tr w:rsidR="00D36D98" w:rsidRPr="00E34F67" w14:paraId="3972D442" w14:textId="77777777" w:rsidTr="00D36D98">
                        <w:trPr>
                          <w:trHeight w:val="240"/>
                        </w:trPr>
                        <w:tc>
                          <w:tcPr>
                            <w:tcW w:w="3220" w:type="dxa"/>
                            <w:tcBorders>
                              <w:top w:val="nil"/>
                              <w:left w:val="nil"/>
                              <w:bottom w:val="nil"/>
                              <w:right w:val="nil"/>
                            </w:tcBorders>
                            <w:shd w:val="clear" w:color="auto" w:fill="auto"/>
                            <w:vAlign w:val="center"/>
                            <w:hideMark/>
                          </w:tcPr>
                          <w:p w14:paraId="637493A2" w14:textId="77777777" w:rsidR="00D36D98" w:rsidRPr="00733404" w:rsidRDefault="00D36D98" w:rsidP="00D36D98">
                            <w:pPr>
                              <w:rPr>
                                <w:rFonts w:ascii="Arial" w:hAnsi="Arial" w:cs="Arial"/>
                                <w:b/>
                                <w:bCs/>
                                <w:sz w:val="20"/>
                              </w:rPr>
                            </w:pPr>
                            <w:r w:rsidRPr="00733404">
                              <w:rPr>
                                <w:rFonts w:ascii="Arial" w:hAnsi="Arial" w:cs="Arial"/>
                                <w:b/>
                                <w:bCs/>
                                <w:sz w:val="20"/>
                              </w:rPr>
                              <w:t>Domestic Fixed Income</w:t>
                            </w:r>
                          </w:p>
                        </w:tc>
                        <w:tc>
                          <w:tcPr>
                            <w:tcW w:w="1600" w:type="dxa"/>
                            <w:tcBorders>
                              <w:top w:val="nil"/>
                              <w:left w:val="nil"/>
                              <w:bottom w:val="nil"/>
                              <w:right w:val="nil"/>
                            </w:tcBorders>
                            <w:shd w:val="clear" w:color="auto" w:fill="auto"/>
                            <w:vAlign w:val="center"/>
                            <w:hideMark/>
                          </w:tcPr>
                          <w:p w14:paraId="0A50A8D0" w14:textId="77777777" w:rsidR="00D36D98" w:rsidRPr="00733404" w:rsidRDefault="00D36D98" w:rsidP="00D36D98">
                            <w:pPr>
                              <w:jc w:val="right"/>
                              <w:rPr>
                                <w:rFonts w:ascii="Arial" w:hAnsi="Arial" w:cs="Arial"/>
                                <w:b/>
                                <w:bCs/>
                                <w:sz w:val="20"/>
                              </w:rPr>
                            </w:pPr>
                            <w:r w:rsidRPr="00733404">
                              <w:rPr>
                                <w:rFonts w:ascii="Arial" w:hAnsi="Arial" w:cs="Arial"/>
                                <w:b/>
                                <w:bCs/>
                                <w:sz w:val="20"/>
                              </w:rPr>
                              <w:t>$118,982,395.00</w:t>
                            </w:r>
                          </w:p>
                        </w:tc>
                        <w:tc>
                          <w:tcPr>
                            <w:tcW w:w="1160" w:type="dxa"/>
                            <w:tcBorders>
                              <w:top w:val="nil"/>
                              <w:left w:val="nil"/>
                              <w:bottom w:val="nil"/>
                              <w:right w:val="nil"/>
                            </w:tcBorders>
                            <w:shd w:val="clear" w:color="auto" w:fill="auto"/>
                            <w:vAlign w:val="center"/>
                            <w:hideMark/>
                          </w:tcPr>
                          <w:p w14:paraId="5368E9CF" w14:textId="77777777" w:rsidR="00D36D98" w:rsidRPr="00733404" w:rsidRDefault="00D36D98" w:rsidP="00D36D98">
                            <w:pPr>
                              <w:jc w:val="center"/>
                              <w:rPr>
                                <w:rFonts w:ascii="Arial" w:hAnsi="Arial" w:cs="Arial"/>
                                <w:b/>
                                <w:bCs/>
                                <w:sz w:val="20"/>
                              </w:rPr>
                            </w:pPr>
                            <w:r w:rsidRPr="00733404">
                              <w:rPr>
                                <w:rFonts w:ascii="Arial" w:hAnsi="Arial" w:cs="Arial"/>
                                <w:b/>
                                <w:bCs/>
                                <w:sz w:val="20"/>
                              </w:rPr>
                              <w:t>23.56%</w:t>
                            </w:r>
                          </w:p>
                        </w:tc>
                        <w:tc>
                          <w:tcPr>
                            <w:tcW w:w="1160" w:type="dxa"/>
                            <w:tcBorders>
                              <w:top w:val="nil"/>
                              <w:left w:val="nil"/>
                              <w:bottom w:val="nil"/>
                              <w:right w:val="nil"/>
                            </w:tcBorders>
                            <w:shd w:val="clear" w:color="auto" w:fill="auto"/>
                            <w:vAlign w:val="center"/>
                            <w:hideMark/>
                          </w:tcPr>
                          <w:p w14:paraId="7ADE9784" w14:textId="77777777" w:rsidR="00D36D98" w:rsidRPr="00733404" w:rsidRDefault="00D36D98" w:rsidP="00D36D98">
                            <w:pPr>
                              <w:jc w:val="center"/>
                              <w:rPr>
                                <w:rFonts w:ascii="Arial" w:hAnsi="Arial" w:cs="Arial"/>
                                <w:b/>
                                <w:bCs/>
                                <w:color w:val="000000"/>
                                <w:sz w:val="20"/>
                              </w:rPr>
                            </w:pPr>
                            <w:r w:rsidRPr="00733404">
                              <w:rPr>
                                <w:rFonts w:ascii="Arial" w:hAnsi="Arial" w:cs="Arial"/>
                                <w:b/>
                                <w:bCs/>
                                <w:color w:val="000000"/>
                                <w:sz w:val="20"/>
                              </w:rPr>
                              <w:t>-0.88%</w:t>
                            </w:r>
                          </w:p>
                        </w:tc>
                        <w:tc>
                          <w:tcPr>
                            <w:tcW w:w="1160" w:type="dxa"/>
                            <w:tcBorders>
                              <w:top w:val="nil"/>
                              <w:left w:val="nil"/>
                              <w:bottom w:val="nil"/>
                              <w:right w:val="nil"/>
                            </w:tcBorders>
                            <w:shd w:val="clear" w:color="auto" w:fill="auto"/>
                            <w:noWrap/>
                            <w:vAlign w:val="center"/>
                            <w:hideMark/>
                          </w:tcPr>
                          <w:p w14:paraId="4867A3AE" w14:textId="77777777" w:rsidR="00D36D98" w:rsidRPr="00733404" w:rsidRDefault="00D36D98" w:rsidP="00D36D98">
                            <w:pPr>
                              <w:jc w:val="center"/>
                              <w:rPr>
                                <w:rFonts w:ascii="Arial" w:hAnsi="Arial" w:cs="Arial"/>
                                <w:b/>
                                <w:bCs/>
                                <w:color w:val="000000"/>
                                <w:sz w:val="20"/>
                              </w:rPr>
                            </w:pPr>
                            <w:r w:rsidRPr="00733404">
                              <w:rPr>
                                <w:rFonts w:ascii="Arial" w:hAnsi="Arial" w:cs="Arial"/>
                                <w:b/>
                                <w:bCs/>
                                <w:color w:val="000000"/>
                                <w:sz w:val="20"/>
                              </w:rPr>
                              <w:t>4.58%</w:t>
                            </w:r>
                          </w:p>
                        </w:tc>
                        <w:tc>
                          <w:tcPr>
                            <w:tcW w:w="1160" w:type="dxa"/>
                            <w:tcBorders>
                              <w:top w:val="nil"/>
                              <w:left w:val="nil"/>
                              <w:bottom w:val="nil"/>
                              <w:right w:val="nil"/>
                            </w:tcBorders>
                            <w:shd w:val="clear" w:color="auto" w:fill="auto"/>
                            <w:noWrap/>
                            <w:vAlign w:val="center"/>
                            <w:hideMark/>
                          </w:tcPr>
                          <w:p w14:paraId="4AFF2673" w14:textId="77777777" w:rsidR="00D36D98" w:rsidRPr="00733404" w:rsidRDefault="00D36D98" w:rsidP="00D36D98">
                            <w:pPr>
                              <w:jc w:val="center"/>
                              <w:rPr>
                                <w:rFonts w:ascii="Arial" w:hAnsi="Arial" w:cs="Arial"/>
                                <w:b/>
                                <w:bCs/>
                                <w:color w:val="000000"/>
                                <w:sz w:val="20"/>
                              </w:rPr>
                            </w:pPr>
                            <w:r w:rsidRPr="00733404">
                              <w:rPr>
                                <w:rFonts w:ascii="Arial" w:hAnsi="Arial" w:cs="Arial"/>
                                <w:b/>
                                <w:bCs/>
                                <w:color w:val="000000"/>
                                <w:sz w:val="20"/>
                              </w:rPr>
                              <w:t>3.43%</w:t>
                            </w:r>
                          </w:p>
                        </w:tc>
                      </w:tr>
                      <w:tr w:rsidR="00D36D98" w:rsidRPr="00E34F67" w14:paraId="060D2222" w14:textId="77777777" w:rsidTr="00D36D98">
                        <w:trPr>
                          <w:trHeight w:val="240"/>
                        </w:trPr>
                        <w:tc>
                          <w:tcPr>
                            <w:tcW w:w="3220" w:type="dxa"/>
                            <w:tcBorders>
                              <w:top w:val="nil"/>
                              <w:left w:val="nil"/>
                              <w:bottom w:val="nil"/>
                              <w:right w:val="nil"/>
                            </w:tcBorders>
                            <w:shd w:val="clear" w:color="auto" w:fill="auto"/>
                            <w:vAlign w:val="center"/>
                            <w:hideMark/>
                          </w:tcPr>
                          <w:p w14:paraId="0545B096" w14:textId="77777777" w:rsidR="00D36D98" w:rsidRPr="00733404" w:rsidRDefault="00D36D98" w:rsidP="00D36D98">
                            <w:pPr>
                              <w:rPr>
                                <w:rFonts w:ascii="Arial" w:hAnsi="Arial" w:cs="Arial"/>
                                <w:sz w:val="20"/>
                              </w:rPr>
                            </w:pPr>
                            <w:r w:rsidRPr="00733404">
                              <w:rPr>
                                <w:rFonts w:ascii="Arial" w:hAnsi="Arial" w:cs="Arial"/>
                                <w:sz w:val="20"/>
                              </w:rPr>
                              <w:t>Loomis, Sayles &amp; Company</w:t>
                            </w:r>
                          </w:p>
                        </w:tc>
                        <w:tc>
                          <w:tcPr>
                            <w:tcW w:w="1600" w:type="dxa"/>
                            <w:tcBorders>
                              <w:top w:val="nil"/>
                              <w:left w:val="nil"/>
                              <w:bottom w:val="nil"/>
                              <w:right w:val="nil"/>
                            </w:tcBorders>
                            <w:shd w:val="clear" w:color="auto" w:fill="auto"/>
                            <w:noWrap/>
                            <w:vAlign w:val="center"/>
                            <w:hideMark/>
                          </w:tcPr>
                          <w:p w14:paraId="5D941E57" w14:textId="77777777" w:rsidR="00D36D98" w:rsidRPr="00733404" w:rsidRDefault="00D36D98" w:rsidP="00D36D98">
                            <w:pPr>
                              <w:jc w:val="right"/>
                              <w:rPr>
                                <w:rFonts w:ascii="Arial" w:hAnsi="Arial" w:cs="Arial"/>
                                <w:color w:val="000000"/>
                                <w:sz w:val="20"/>
                              </w:rPr>
                            </w:pPr>
                            <w:r w:rsidRPr="00733404">
                              <w:rPr>
                                <w:rFonts w:ascii="Arial" w:hAnsi="Arial" w:cs="Arial"/>
                                <w:color w:val="000000"/>
                                <w:sz w:val="20"/>
                              </w:rPr>
                              <w:t>$59,397,751.00</w:t>
                            </w:r>
                          </w:p>
                        </w:tc>
                        <w:tc>
                          <w:tcPr>
                            <w:tcW w:w="1160" w:type="dxa"/>
                            <w:tcBorders>
                              <w:top w:val="nil"/>
                              <w:left w:val="nil"/>
                              <w:bottom w:val="nil"/>
                              <w:right w:val="nil"/>
                            </w:tcBorders>
                            <w:shd w:val="clear" w:color="auto" w:fill="auto"/>
                            <w:noWrap/>
                            <w:vAlign w:val="center"/>
                            <w:hideMark/>
                          </w:tcPr>
                          <w:p w14:paraId="165CE41F" w14:textId="77777777" w:rsidR="00D36D98" w:rsidRPr="00733404" w:rsidRDefault="00D36D98" w:rsidP="00D36D98">
                            <w:pPr>
                              <w:jc w:val="center"/>
                              <w:rPr>
                                <w:rFonts w:ascii="Arial" w:hAnsi="Arial" w:cs="Arial"/>
                                <w:color w:val="000000"/>
                                <w:sz w:val="20"/>
                              </w:rPr>
                            </w:pPr>
                            <w:r w:rsidRPr="00733404">
                              <w:rPr>
                                <w:rFonts w:ascii="Arial" w:hAnsi="Arial" w:cs="Arial"/>
                                <w:color w:val="000000"/>
                                <w:sz w:val="20"/>
                              </w:rPr>
                              <w:t>11.76%</w:t>
                            </w:r>
                          </w:p>
                        </w:tc>
                        <w:tc>
                          <w:tcPr>
                            <w:tcW w:w="1160" w:type="dxa"/>
                            <w:tcBorders>
                              <w:top w:val="nil"/>
                              <w:left w:val="nil"/>
                              <w:bottom w:val="nil"/>
                              <w:right w:val="nil"/>
                            </w:tcBorders>
                            <w:shd w:val="clear" w:color="auto" w:fill="auto"/>
                            <w:vAlign w:val="center"/>
                            <w:hideMark/>
                          </w:tcPr>
                          <w:p w14:paraId="04A83E0D" w14:textId="77777777" w:rsidR="00D36D98" w:rsidRPr="00733404" w:rsidRDefault="00D36D98" w:rsidP="00D36D98">
                            <w:pPr>
                              <w:jc w:val="center"/>
                              <w:rPr>
                                <w:rFonts w:ascii="Arial" w:hAnsi="Arial" w:cs="Arial"/>
                                <w:color w:val="000000"/>
                                <w:sz w:val="20"/>
                              </w:rPr>
                            </w:pPr>
                            <w:r w:rsidRPr="00733404">
                              <w:rPr>
                                <w:rFonts w:ascii="Arial" w:hAnsi="Arial" w:cs="Arial"/>
                                <w:color w:val="000000"/>
                                <w:sz w:val="20"/>
                              </w:rPr>
                              <w:t>-1.11%</w:t>
                            </w:r>
                          </w:p>
                        </w:tc>
                        <w:tc>
                          <w:tcPr>
                            <w:tcW w:w="1160" w:type="dxa"/>
                            <w:tcBorders>
                              <w:top w:val="nil"/>
                              <w:left w:val="nil"/>
                              <w:bottom w:val="nil"/>
                              <w:right w:val="nil"/>
                            </w:tcBorders>
                            <w:shd w:val="clear" w:color="auto" w:fill="auto"/>
                            <w:hideMark/>
                          </w:tcPr>
                          <w:p w14:paraId="45612275" w14:textId="77777777" w:rsidR="00D36D98" w:rsidRPr="00733404" w:rsidRDefault="00D36D98" w:rsidP="00D36D98">
                            <w:pPr>
                              <w:jc w:val="center"/>
                              <w:rPr>
                                <w:rFonts w:ascii="Arial" w:hAnsi="Arial" w:cs="Arial"/>
                                <w:sz w:val="20"/>
                              </w:rPr>
                            </w:pPr>
                            <w:r w:rsidRPr="00733404">
                              <w:rPr>
                                <w:rFonts w:ascii="Arial" w:hAnsi="Arial" w:cs="Arial"/>
                                <w:sz w:val="20"/>
                              </w:rPr>
                              <w:t>-</w:t>
                            </w:r>
                          </w:p>
                        </w:tc>
                        <w:tc>
                          <w:tcPr>
                            <w:tcW w:w="1160" w:type="dxa"/>
                            <w:tcBorders>
                              <w:top w:val="nil"/>
                              <w:left w:val="nil"/>
                              <w:bottom w:val="nil"/>
                              <w:right w:val="nil"/>
                            </w:tcBorders>
                            <w:shd w:val="clear" w:color="auto" w:fill="auto"/>
                            <w:hideMark/>
                          </w:tcPr>
                          <w:p w14:paraId="3A73C303" w14:textId="77777777" w:rsidR="00D36D98" w:rsidRPr="00733404" w:rsidRDefault="00D36D98" w:rsidP="00D36D98">
                            <w:pPr>
                              <w:jc w:val="center"/>
                              <w:rPr>
                                <w:rFonts w:ascii="Arial" w:hAnsi="Arial" w:cs="Arial"/>
                                <w:sz w:val="20"/>
                              </w:rPr>
                            </w:pPr>
                            <w:r w:rsidRPr="00733404">
                              <w:rPr>
                                <w:rFonts w:ascii="Arial" w:hAnsi="Arial" w:cs="Arial"/>
                                <w:sz w:val="20"/>
                              </w:rPr>
                              <w:t>-</w:t>
                            </w:r>
                          </w:p>
                        </w:tc>
                      </w:tr>
                      <w:tr w:rsidR="00D36D98" w:rsidRPr="00E34F67" w14:paraId="72A26A29" w14:textId="77777777" w:rsidTr="00D36D98">
                        <w:trPr>
                          <w:trHeight w:val="240"/>
                        </w:trPr>
                        <w:tc>
                          <w:tcPr>
                            <w:tcW w:w="3220" w:type="dxa"/>
                            <w:tcBorders>
                              <w:top w:val="nil"/>
                              <w:left w:val="nil"/>
                              <w:bottom w:val="nil"/>
                              <w:right w:val="nil"/>
                            </w:tcBorders>
                            <w:shd w:val="clear" w:color="auto" w:fill="auto"/>
                            <w:hideMark/>
                          </w:tcPr>
                          <w:p w14:paraId="40E3363D" w14:textId="77777777" w:rsidR="00D36D98" w:rsidRPr="00733404" w:rsidRDefault="00D36D98" w:rsidP="00D36D98">
                            <w:pPr>
                              <w:rPr>
                                <w:rFonts w:ascii="Arial" w:hAnsi="Arial" w:cs="Arial"/>
                                <w:sz w:val="20"/>
                              </w:rPr>
                            </w:pPr>
                            <w:r w:rsidRPr="00733404">
                              <w:rPr>
                                <w:rFonts w:ascii="Arial" w:hAnsi="Arial" w:cs="Arial"/>
                                <w:sz w:val="20"/>
                              </w:rPr>
                              <w:t>Voya Investment Mgmt.</w:t>
                            </w:r>
                          </w:p>
                        </w:tc>
                        <w:tc>
                          <w:tcPr>
                            <w:tcW w:w="1600" w:type="dxa"/>
                            <w:tcBorders>
                              <w:top w:val="nil"/>
                              <w:left w:val="nil"/>
                              <w:bottom w:val="nil"/>
                              <w:right w:val="nil"/>
                            </w:tcBorders>
                            <w:shd w:val="clear" w:color="auto" w:fill="auto"/>
                            <w:noWrap/>
                            <w:vAlign w:val="center"/>
                            <w:hideMark/>
                          </w:tcPr>
                          <w:p w14:paraId="67A48B5D" w14:textId="77777777" w:rsidR="00D36D98" w:rsidRPr="00733404" w:rsidRDefault="00D36D98" w:rsidP="00D36D98">
                            <w:pPr>
                              <w:jc w:val="right"/>
                              <w:rPr>
                                <w:rFonts w:ascii="Arial" w:hAnsi="Arial" w:cs="Arial"/>
                                <w:color w:val="000000"/>
                                <w:sz w:val="20"/>
                              </w:rPr>
                            </w:pPr>
                            <w:r w:rsidRPr="00733404">
                              <w:rPr>
                                <w:rFonts w:ascii="Arial" w:hAnsi="Arial" w:cs="Arial"/>
                                <w:color w:val="000000"/>
                                <w:sz w:val="20"/>
                              </w:rPr>
                              <w:t>$59,584,638.00</w:t>
                            </w:r>
                          </w:p>
                        </w:tc>
                        <w:tc>
                          <w:tcPr>
                            <w:tcW w:w="1160" w:type="dxa"/>
                            <w:tcBorders>
                              <w:top w:val="nil"/>
                              <w:left w:val="nil"/>
                              <w:bottom w:val="nil"/>
                              <w:right w:val="nil"/>
                            </w:tcBorders>
                            <w:shd w:val="clear" w:color="auto" w:fill="auto"/>
                            <w:noWrap/>
                            <w:hideMark/>
                          </w:tcPr>
                          <w:p w14:paraId="2E835A62" w14:textId="77777777" w:rsidR="00D36D98" w:rsidRPr="00733404" w:rsidRDefault="00D36D98" w:rsidP="00D36D98">
                            <w:pPr>
                              <w:jc w:val="center"/>
                              <w:rPr>
                                <w:rFonts w:ascii="Arial" w:hAnsi="Arial" w:cs="Arial"/>
                                <w:color w:val="000000"/>
                                <w:sz w:val="20"/>
                              </w:rPr>
                            </w:pPr>
                            <w:r w:rsidRPr="00733404">
                              <w:rPr>
                                <w:rFonts w:ascii="Arial" w:hAnsi="Arial" w:cs="Arial"/>
                                <w:color w:val="000000"/>
                                <w:sz w:val="20"/>
                              </w:rPr>
                              <w:t>11.80%</w:t>
                            </w:r>
                          </w:p>
                        </w:tc>
                        <w:tc>
                          <w:tcPr>
                            <w:tcW w:w="1160" w:type="dxa"/>
                            <w:tcBorders>
                              <w:top w:val="nil"/>
                              <w:left w:val="nil"/>
                              <w:bottom w:val="nil"/>
                              <w:right w:val="nil"/>
                            </w:tcBorders>
                            <w:shd w:val="clear" w:color="auto" w:fill="auto"/>
                            <w:hideMark/>
                          </w:tcPr>
                          <w:p w14:paraId="002F3527" w14:textId="77777777" w:rsidR="00D36D98" w:rsidRPr="00733404" w:rsidRDefault="00D36D98" w:rsidP="00D36D98">
                            <w:pPr>
                              <w:jc w:val="center"/>
                              <w:rPr>
                                <w:rFonts w:ascii="Arial" w:hAnsi="Arial" w:cs="Arial"/>
                                <w:color w:val="000000"/>
                                <w:sz w:val="20"/>
                              </w:rPr>
                            </w:pPr>
                            <w:r w:rsidRPr="00733404">
                              <w:rPr>
                                <w:rFonts w:ascii="Arial" w:hAnsi="Arial" w:cs="Arial"/>
                                <w:color w:val="000000"/>
                                <w:sz w:val="20"/>
                              </w:rPr>
                              <w:t>-0.65%</w:t>
                            </w:r>
                          </w:p>
                        </w:tc>
                        <w:tc>
                          <w:tcPr>
                            <w:tcW w:w="1160" w:type="dxa"/>
                            <w:tcBorders>
                              <w:top w:val="nil"/>
                              <w:left w:val="nil"/>
                              <w:bottom w:val="nil"/>
                              <w:right w:val="nil"/>
                            </w:tcBorders>
                            <w:shd w:val="clear" w:color="auto" w:fill="auto"/>
                            <w:hideMark/>
                          </w:tcPr>
                          <w:p w14:paraId="2E16BA96" w14:textId="77777777" w:rsidR="00D36D98" w:rsidRPr="00733404" w:rsidRDefault="00D36D98" w:rsidP="00D36D98">
                            <w:pPr>
                              <w:jc w:val="center"/>
                              <w:rPr>
                                <w:rFonts w:ascii="Arial" w:hAnsi="Arial" w:cs="Arial"/>
                                <w:sz w:val="20"/>
                              </w:rPr>
                            </w:pPr>
                            <w:r w:rsidRPr="00733404">
                              <w:rPr>
                                <w:rFonts w:ascii="Arial" w:hAnsi="Arial" w:cs="Arial"/>
                                <w:sz w:val="20"/>
                              </w:rPr>
                              <w:t>-</w:t>
                            </w:r>
                          </w:p>
                        </w:tc>
                        <w:tc>
                          <w:tcPr>
                            <w:tcW w:w="1160" w:type="dxa"/>
                            <w:tcBorders>
                              <w:top w:val="nil"/>
                              <w:left w:val="nil"/>
                              <w:bottom w:val="nil"/>
                              <w:right w:val="nil"/>
                            </w:tcBorders>
                            <w:shd w:val="clear" w:color="auto" w:fill="auto"/>
                            <w:hideMark/>
                          </w:tcPr>
                          <w:p w14:paraId="3900E6C8" w14:textId="77777777" w:rsidR="00D36D98" w:rsidRPr="00733404" w:rsidRDefault="00D36D98" w:rsidP="00D36D98">
                            <w:pPr>
                              <w:jc w:val="center"/>
                              <w:rPr>
                                <w:rFonts w:ascii="Arial" w:hAnsi="Arial" w:cs="Arial"/>
                                <w:sz w:val="20"/>
                              </w:rPr>
                            </w:pPr>
                            <w:r w:rsidRPr="00733404">
                              <w:rPr>
                                <w:rFonts w:ascii="Arial" w:hAnsi="Arial" w:cs="Arial"/>
                                <w:sz w:val="20"/>
                              </w:rPr>
                              <w:t>-</w:t>
                            </w:r>
                          </w:p>
                        </w:tc>
                      </w:tr>
                      <w:tr w:rsidR="00D36D98" w:rsidRPr="00E34F67" w14:paraId="0ED5AED0" w14:textId="77777777" w:rsidTr="00D36D98">
                        <w:trPr>
                          <w:trHeight w:val="240"/>
                        </w:trPr>
                        <w:tc>
                          <w:tcPr>
                            <w:tcW w:w="3220" w:type="dxa"/>
                            <w:tcBorders>
                              <w:top w:val="nil"/>
                              <w:left w:val="nil"/>
                              <w:bottom w:val="nil"/>
                              <w:right w:val="nil"/>
                            </w:tcBorders>
                            <w:shd w:val="clear" w:color="auto" w:fill="auto"/>
                            <w:hideMark/>
                          </w:tcPr>
                          <w:p w14:paraId="5BCF8920" w14:textId="77777777" w:rsidR="00D36D98" w:rsidRPr="00733404" w:rsidRDefault="00D36D98" w:rsidP="00D36D98">
                            <w:pPr>
                              <w:rPr>
                                <w:rFonts w:ascii="Arial" w:hAnsi="Arial" w:cs="Arial"/>
                                <w:b/>
                                <w:bCs/>
                                <w:sz w:val="20"/>
                              </w:rPr>
                            </w:pPr>
                            <w:r w:rsidRPr="00733404">
                              <w:rPr>
                                <w:rFonts w:ascii="Arial" w:hAnsi="Arial" w:cs="Arial"/>
                                <w:b/>
                                <w:bCs/>
                                <w:sz w:val="20"/>
                              </w:rPr>
                              <w:t>Convertibles</w:t>
                            </w:r>
                          </w:p>
                        </w:tc>
                        <w:tc>
                          <w:tcPr>
                            <w:tcW w:w="1600" w:type="dxa"/>
                            <w:tcBorders>
                              <w:top w:val="nil"/>
                              <w:left w:val="nil"/>
                              <w:bottom w:val="nil"/>
                              <w:right w:val="nil"/>
                            </w:tcBorders>
                            <w:shd w:val="clear" w:color="auto" w:fill="auto"/>
                            <w:noWrap/>
                            <w:vAlign w:val="center"/>
                            <w:hideMark/>
                          </w:tcPr>
                          <w:p w14:paraId="43CC6F8F" w14:textId="77777777" w:rsidR="00D36D98" w:rsidRPr="00733404" w:rsidRDefault="00D36D98" w:rsidP="00D36D98">
                            <w:pPr>
                              <w:jc w:val="right"/>
                              <w:rPr>
                                <w:rFonts w:ascii="Arial" w:hAnsi="Arial" w:cs="Arial"/>
                                <w:b/>
                                <w:bCs/>
                                <w:color w:val="000000"/>
                                <w:sz w:val="20"/>
                              </w:rPr>
                            </w:pPr>
                            <w:r w:rsidRPr="00733404">
                              <w:rPr>
                                <w:rFonts w:ascii="Arial" w:hAnsi="Arial" w:cs="Arial"/>
                                <w:b/>
                                <w:bCs/>
                                <w:color w:val="000000"/>
                                <w:sz w:val="20"/>
                              </w:rPr>
                              <w:t>$26,344,689.00</w:t>
                            </w:r>
                          </w:p>
                        </w:tc>
                        <w:tc>
                          <w:tcPr>
                            <w:tcW w:w="1160" w:type="dxa"/>
                            <w:tcBorders>
                              <w:top w:val="nil"/>
                              <w:left w:val="nil"/>
                              <w:bottom w:val="nil"/>
                              <w:right w:val="nil"/>
                            </w:tcBorders>
                            <w:shd w:val="clear" w:color="auto" w:fill="auto"/>
                            <w:noWrap/>
                            <w:hideMark/>
                          </w:tcPr>
                          <w:p w14:paraId="14E0A01C" w14:textId="77777777" w:rsidR="00D36D98" w:rsidRPr="00733404" w:rsidRDefault="00D36D98" w:rsidP="00D36D98">
                            <w:pPr>
                              <w:jc w:val="center"/>
                              <w:rPr>
                                <w:rFonts w:ascii="Arial" w:hAnsi="Arial" w:cs="Arial"/>
                                <w:b/>
                                <w:bCs/>
                                <w:color w:val="000000"/>
                                <w:sz w:val="20"/>
                              </w:rPr>
                            </w:pPr>
                            <w:r w:rsidRPr="00733404">
                              <w:rPr>
                                <w:rFonts w:ascii="Arial" w:hAnsi="Arial" w:cs="Arial"/>
                                <w:b/>
                                <w:bCs/>
                                <w:color w:val="000000"/>
                                <w:sz w:val="20"/>
                              </w:rPr>
                              <w:t>5.22%</w:t>
                            </w:r>
                          </w:p>
                        </w:tc>
                        <w:tc>
                          <w:tcPr>
                            <w:tcW w:w="1160" w:type="dxa"/>
                            <w:tcBorders>
                              <w:top w:val="nil"/>
                              <w:left w:val="nil"/>
                              <w:bottom w:val="nil"/>
                              <w:right w:val="nil"/>
                            </w:tcBorders>
                            <w:shd w:val="clear" w:color="auto" w:fill="auto"/>
                            <w:noWrap/>
                            <w:hideMark/>
                          </w:tcPr>
                          <w:p w14:paraId="086B1FE0" w14:textId="77777777" w:rsidR="00D36D98" w:rsidRPr="00733404" w:rsidRDefault="00D36D98" w:rsidP="00D36D98">
                            <w:pPr>
                              <w:jc w:val="center"/>
                              <w:rPr>
                                <w:rFonts w:ascii="Arial" w:hAnsi="Arial" w:cs="Arial"/>
                                <w:b/>
                                <w:bCs/>
                                <w:color w:val="000000"/>
                                <w:sz w:val="20"/>
                              </w:rPr>
                            </w:pPr>
                            <w:r w:rsidRPr="00733404">
                              <w:rPr>
                                <w:rFonts w:ascii="Arial" w:hAnsi="Arial" w:cs="Arial"/>
                                <w:b/>
                                <w:bCs/>
                                <w:color w:val="000000"/>
                                <w:sz w:val="20"/>
                              </w:rPr>
                              <w:t>13.06%</w:t>
                            </w:r>
                          </w:p>
                        </w:tc>
                        <w:tc>
                          <w:tcPr>
                            <w:tcW w:w="1160" w:type="dxa"/>
                            <w:tcBorders>
                              <w:top w:val="nil"/>
                              <w:left w:val="nil"/>
                              <w:bottom w:val="nil"/>
                              <w:right w:val="nil"/>
                            </w:tcBorders>
                            <w:shd w:val="clear" w:color="auto" w:fill="auto"/>
                            <w:noWrap/>
                            <w:hideMark/>
                          </w:tcPr>
                          <w:p w14:paraId="10B295B7" w14:textId="77777777" w:rsidR="00D36D98" w:rsidRPr="00733404" w:rsidRDefault="00D36D98" w:rsidP="00D36D98">
                            <w:pPr>
                              <w:jc w:val="center"/>
                              <w:rPr>
                                <w:rFonts w:ascii="Arial" w:hAnsi="Arial" w:cs="Arial"/>
                                <w:b/>
                                <w:bCs/>
                                <w:color w:val="000000"/>
                                <w:sz w:val="20"/>
                              </w:rPr>
                            </w:pPr>
                            <w:r w:rsidRPr="00733404">
                              <w:rPr>
                                <w:rFonts w:ascii="Arial" w:hAnsi="Arial" w:cs="Arial"/>
                                <w:b/>
                                <w:bCs/>
                                <w:color w:val="000000"/>
                                <w:sz w:val="20"/>
                              </w:rPr>
                              <w:t>15.18%</w:t>
                            </w:r>
                          </w:p>
                        </w:tc>
                        <w:tc>
                          <w:tcPr>
                            <w:tcW w:w="1160" w:type="dxa"/>
                            <w:tcBorders>
                              <w:top w:val="nil"/>
                              <w:left w:val="nil"/>
                              <w:bottom w:val="nil"/>
                              <w:right w:val="nil"/>
                            </w:tcBorders>
                            <w:shd w:val="clear" w:color="auto" w:fill="auto"/>
                            <w:noWrap/>
                            <w:hideMark/>
                          </w:tcPr>
                          <w:p w14:paraId="2E264FF1" w14:textId="77777777" w:rsidR="00D36D98" w:rsidRPr="00733404" w:rsidRDefault="00D36D98" w:rsidP="00D36D98">
                            <w:pPr>
                              <w:jc w:val="center"/>
                              <w:rPr>
                                <w:rFonts w:ascii="Arial" w:hAnsi="Arial" w:cs="Arial"/>
                                <w:b/>
                                <w:bCs/>
                                <w:color w:val="000000"/>
                                <w:sz w:val="20"/>
                              </w:rPr>
                            </w:pPr>
                          </w:p>
                        </w:tc>
                      </w:tr>
                      <w:tr w:rsidR="00D36D98" w:rsidRPr="00E34F67" w14:paraId="6035B1DA" w14:textId="77777777" w:rsidTr="00D36D98">
                        <w:trPr>
                          <w:trHeight w:val="240"/>
                        </w:trPr>
                        <w:tc>
                          <w:tcPr>
                            <w:tcW w:w="3220" w:type="dxa"/>
                            <w:tcBorders>
                              <w:top w:val="nil"/>
                              <w:left w:val="nil"/>
                              <w:bottom w:val="nil"/>
                              <w:right w:val="nil"/>
                            </w:tcBorders>
                            <w:shd w:val="clear" w:color="auto" w:fill="auto"/>
                            <w:vAlign w:val="center"/>
                            <w:hideMark/>
                          </w:tcPr>
                          <w:p w14:paraId="36A0285F" w14:textId="77777777" w:rsidR="00D36D98" w:rsidRPr="00733404" w:rsidRDefault="00D36D98" w:rsidP="00D36D98">
                            <w:pPr>
                              <w:rPr>
                                <w:rFonts w:ascii="Arial" w:hAnsi="Arial" w:cs="Arial"/>
                                <w:sz w:val="20"/>
                              </w:rPr>
                            </w:pPr>
                            <w:r w:rsidRPr="00733404">
                              <w:rPr>
                                <w:rFonts w:ascii="Arial" w:hAnsi="Arial" w:cs="Arial"/>
                                <w:sz w:val="20"/>
                              </w:rPr>
                              <w:t>Advent Capital Management</w:t>
                            </w:r>
                          </w:p>
                        </w:tc>
                        <w:tc>
                          <w:tcPr>
                            <w:tcW w:w="1600" w:type="dxa"/>
                            <w:tcBorders>
                              <w:top w:val="nil"/>
                              <w:left w:val="nil"/>
                              <w:bottom w:val="nil"/>
                              <w:right w:val="nil"/>
                            </w:tcBorders>
                            <w:shd w:val="clear" w:color="auto" w:fill="auto"/>
                            <w:noWrap/>
                            <w:vAlign w:val="center"/>
                            <w:hideMark/>
                          </w:tcPr>
                          <w:p w14:paraId="393990F0" w14:textId="77777777" w:rsidR="00D36D98" w:rsidRPr="00733404" w:rsidRDefault="00D36D98" w:rsidP="00D36D98">
                            <w:pPr>
                              <w:jc w:val="right"/>
                              <w:rPr>
                                <w:rFonts w:ascii="Arial" w:hAnsi="Arial" w:cs="Arial"/>
                                <w:color w:val="000000"/>
                                <w:sz w:val="20"/>
                              </w:rPr>
                            </w:pPr>
                            <w:r w:rsidRPr="00733404">
                              <w:rPr>
                                <w:rFonts w:ascii="Arial" w:hAnsi="Arial" w:cs="Arial"/>
                                <w:color w:val="000000"/>
                                <w:sz w:val="20"/>
                              </w:rPr>
                              <w:t>$26,344,689.00</w:t>
                            </w:r>
                          </w:p>
                        </w:tc>
                        <w:tc>
                          <w:tcPr>
                            <w:tcW w:w="1160" w:type="dxa"/>
                            <w:tcBorders>
                              <w:top w:val="nil"/>
                              <w:left w:val="nil"/>
                              <w:bottom w:val="nil"/>
                              <w:right w:val="nil"/>
                            </w:tcBorders>
                            <w:shd w:val="clear" w:color="auto" w:fill="auto"/>
                            <w:noWrap/>
                            <w:vAlign w:val="center"/>
                            <w:hideMark/>
                          </w:tcPr>
                          <w:p w14:paraId="707A2B84" w14:textId="77777777" w:rsidR="00D36D98" w:rsidRPr="00733404" w:rsidRDefault="00D36D98" w:rsidP="00D36D98">
                            <w:pPr>
                              <w:jc w:val="center"/>
                              <w:rPr>
                                <w:rFonts w:ascii="Arial" w:hAnsi="Arial" w:cs="Arial"/>
                                <w:color w:val="000000"/>
                                <w:sz w:val="20"/>
                              </w:rPr>
                            </w:pPr>
                            <w:r w:rsidRPr="00733404">
                              <w:rPr>
                                <w:rFonts w:ascii="Arial" w:hAnsi="Arial" w:cs="Arial"/>
                                <w:color w:val="000000"/>
                                <w:sz w:val="20"/>
                              </w:rPr>
                              <w:t>5.22%</w:t>
                            </w:r>
                          </w:p>
                        </w:tc>
                        <w:tc>
                          <w:tcPr>
                            <w:tcW w:w="1160" w:type="dxa"/>
                            <w:tcBorders>
                              <w:top w:val="nil"/>
                              <w:left w:val="nil"/>
                              <w:bottom w:val="nil"/>
                              <w:right w:val="nil"/>
                            </w:tcBorders>
                            <w:shd w:val="clear" w:color="auto" w:fill="auto"/>
                            <w:noWrap/>
                            <w:vAlign w:val="center"/>
                            <w:hideMark/>
                          </w:tcPr>
                          <w:p w14:paraId="19E4491D" w14:textId="77777777" w:rsidR="00D36D98" w:rsidRPr="00733404" w:rsidRDefault="00D36D98" w:rsidP="00D36D98">
                            <w:pPr>
                              <w:jc w:val="center"/>
                              <w:rPr>
                                <w:rFonts w:ascii="Arial" w:hAnsi="Arial" w:cs="Arial"/>
                                <w:color w:val="000000"/>
                                <w:sz w:val="20"/>
                              </w:rPr>
                            </w:pPr>
                            <w:r w:rsidRPr="00733404">
                              <w:rPr>
                                <w:rFonts w:ascii="Arial" w:hAnsi="Arial" w:cs="Arial"/>
                                <w:color w:val="000000"/>
                                <w:sz w:val="20"/>
                              </w:rPr>
                              <w:t>13.06%</w:t>
                            </w:r>
                          </w:p>
                        </w:tc>
                        <w:tc>
                          <w:tcPr>
                            <w:tcW w:w="1160" w:type="dxa"/>
                            <w:tcBorders>
                              <w:top w:val="nil"/>
                              <w:left w:val="nil"/>
                              <w:bottom w:val="nil"/>
                              <w:right w:val="nil"/>
                            </w:tcBorders>
                            <w:shd w:val="clear" w:color="auto" w:fill="auto"/>
                            <w:noWrap/>
                            <w:vAlign w:val="center"/>
                            <w:hideMark/>
                          </w:tcPr>
                          <w:p w14:paraId="65D58F36" w14:textId="77777777" w:rsidR="00D36D98" w:rsidRPr="00733404" w:rsidRDefault="00D36D98" w:rsidP="00D36D98">
                            <w:pPr>
                              <w:jc w:val="center"/>
                              <w:rPr>
                                <w:rFonts w:ascii="Arial" w:hAnsi="Arial" w:cs="Arial"/>
                                <w:color w:val="000000"/>
                                <w:sz w:val="20"/>
                              </w:rPr>
                            </w:pPr>
                            <w:r w:rsidRPr="00733404">
                              <w:rPr>
                                <w:rFonts w:ascii="Arial" w:hAnsi="Arial" w:cs="Arial"/>
                                <w:color w:val="000000"/>
                                <w:sz w:val="20"/>
                              </w:rPr>
                              <w:t>15.18%</w:t>
                            </w:r>
                          </w:p>
                        </w:tc>
                        <w:tc>
                          <w:tcPr>
                            <w:tcW w:w="1160" w:type="dxa"/>
                            <w:tcBorders>
                              <w:top w:val="nil"/>
                              <w:left w:val="nil"/>
                              <w:bottom w:val="nil"/>
                              <w:right w:val="nil"/>
                            </w:tcBorders>
                            <w:shd w:val="clear" w:color="auto" w:fill="auto"/>
                            <w:noWrap/>
                            <w:vAlign w:val="center"/>
                            <w:hideMark/>
                          </w:tcPr>
                          <w:p w14:paraId="4CE3F4DD" w14:textId="77777777" w:rsidR="00D36D98" w:rsidRPr="00733404" w:rsidRDefault="00D36D98" w:rsidP="00D36D98">
                            <w:pPr>
                              <w:jc w:val="center"/>
                              <w:rPr>
                                <w:rFonts w:ascii="Arial" w:hAnsi="Arial" w:cs="Arial"/>
                                <w:color w:val="000000"/>
                                <w:sz w:val="20"/>
                              </w:rPr>
                            </w:pPr>
                            <w:r w:rsidRPr="00733404">
                              <w:rPr>
                                <w:rFonts w:ascii="Arial" w:hAnsi="Arial" w:cs="Arial"/>
                                <w:color w:val="000000"/>
                                <w:sz w:val="20"/>
                              </w:rPr>
                              <w:t>13.18%</w:t>
                            </w:r>
                          </w:p>
                        </w:tc>
                      </w:tr>
                      <w:tr w:rsidR="00D36D98" w:rsidRPr="00E34F67" w14:paraId="07DE6024" w14:textId="77777777" w:rsidTr="00D36D98">
                        <w:trPr>
                          <w:trHeight w:val="240"/>
                        </w:trPr>
                        <w:tc>
                          <w:tcPr>
                            <w:tcW w:w="3220" w:type="dxa"/>
                            <w:tcBorders>
                              <w:top w:val="nil"/>
                              <w:left w:val="nil"/>
                              <w:bottom w:val="nil"/>
                              <w:right w:val="nil"/>
                            </w:tcBorders>
                            <w:shd w:val="clear" w:color="auto" w:fill="auto"/>
                            <w:vAlign w:val="center"/>
                            <w:hideMark/>
                          </w:tcPr>
                          <w:p w14:paraId="06F4E3CC" w14:textId="77777777" w:rsidR="00D36D98" w:rsidRPr="00733404" w:rsidRDefault="00D36D98" w:rsidP="00D36D98">
                            <w:pPr>
                              <w:rPr>
                                <w:rFonts w:ascii="Arial" w:hAnsi="Arial" w:cs="Arial"/>
                                <w:b/>
                                <w:bCs/>
                                <w:sz w:val="20"/>
                              </w:rPr>
                            </w:pPr>
                            <w:r w:rsidRPr="00733404">
                              <w:rPr>
                                <w:rFonts w:ascii="Arial" w:hAnsi="Arial" w:cs="Arial"/>
                                <w:b/>
                                <w:bCs/>
                                <w:sz w:val="20"/>
                              </w:rPr>
                              <w:t>Global Fixed Income</w:t>
                            </w:r>
                          </w:p>
                        </w:tc>
                        <w:tc>
                          <w:tcPr>
                            <w:tcW w:w="1600" w:type="dxa"/>
                            <w:tcBorders>
                              <w:top w:val="nil"/>
                              <w:left w:val="nil"/>
                              <w:bottom w:val="nil"/>
                              <w:right w:val="nil"/>
                            </w:tcBorders>
                            <w:shd w:val="clear" w:color="auto" w:fill="auto"/>
                            <w:vAlign w:val="center"/>
                            <w:hideMark/>
                          </w:tcPr>
                          <w:p w14:paraId="7BD3B64A" w14:textId="77777777" w:rsidR="00D36D98" w:rsidRPr="00733404" w:rsidRDefault="00D36D98" w:rsidP="00D36D98">
                            <w:pPr>
                              <w:jc w:val="right"/>
                              <w:rPr>
                                <w:rFonts w:ascii="Arial" w:hAnsi="Arial" w:cs="Arial"/>
                                <w:b/>
                                <w:bCs/>
                                <w:sz w:val="20"/>
                              </w:rPr>
                            </w:pPr>
                            <w:r w:rsidRPr="00733404">
                              <w:rPr>
                                <w:rFonts w:ascii="Arial" w:hAnsi="Arial" w:cs="Arial"/>
                                <w:b/>
                                <w:bCs/>
                                <w:sz w:val="20"/>
                              </w:rPr>
                              <w:t>$34,085,200.00</w:t>
                            </w:r>
                          </w:p>
                        </w:tc>
                        <w:tc>
                          <w:tcPr>
                            <w:tcW w:w="1160" w:type="dxa"/>
                            <w:tcBorders>
                              <w:top w:val="nil"/>
                              <w:left w:val="nil"/>
                              <w:bottom w:val="nil"/>
                              <w:right w:val="nil"/>
                            </w:tcBorders>
                            <w:shd w:val="clear" w:color="auto" w:fill="auto"/>
                            <w:vAlign w:val="center"/>
                            <w:hideMark/>
                          </w:tcPr>
                          <w:p w14:paraId="04052308" w14:textId="77777777" w:rsidR="00D36D98" w:rsidRPr="00733404" w:rsidRDefault="00D36D98" w:rsidP="00D36D98">
                            <w:pPr>
                              <w:jc w:val="center"/>
                              <w:rPr>
                                <w:rFonts w:ascii="Arial" w:hAnsi="Arial" w:cs="Arial"/>
                                <w:b/>
                                <w:bCs/>
                                <w:sz w:val="20"/>
                              </w:rPr>
                            </w:pPr>
                            <w:r w:rsidRPr="00733404">
                              <w:rPr>
                                <w:rFonts w:ascii="Arial" w:hAnsi="Arial" w:cs="Arial"/>
                                <w:b/>
                                <w:bCs/>
                                <w:sz w:val="20"/>
                              </w:rPr>
                              <w:t>6.75%</w:t>
                            </w:r>
                          </w:p>
                        </w:tc>
                        <w:tc>
                          <w:tcPr>
                            <w:tcW w:w="1160" w:type="dxa"/>
                            <w:tcBorders>
                              <w:top w:val="nil"/>
                              <w:left w:val="nil"/>
                              <w:bottom w:val="nil"/>
                              <w:right w:val="nil"/>
                            </w:tcBorders>
                            <w:shd w:val="clear" w:color="auto" w:fill="auto"/>
                            <w:vAlign w:val="center"/>
                            <w:hideMark/>
                          </w:tcPr>
                          <w:p w14:paraId="541D9DFB" w14:textId="77777777" w:rsidR="00D36D98" w:rsidRPr="00733404" w:rsidRDefault="00D36D98" w:rsidP="00D36D98">
                            <w:pPr>
                              <w:jc w:val="center"/>
                              <w:rPr>
                                <w:rFonts w:ascii="Arial" w:hAnsi="Arial" w:cs="Arial"/>
                                <w:color w:val="000000"/>
                                <w:sz w:val="20"/>
                              </w:rPr>
                            </w:pPr>
                            <w:r w:rsidRPr="00733404">
                              <w:rPr>
                                <w:rFonts w:ascii="Arial" w:hAnsi="Arial" w:cs="Arial"/>
                                <w:color w:val="000000"/>
                                <w:sz w:val="20"/>
                              </w:rPr>
                              <w:t>-3.75%</w:t>
                            </w:r>
                          </w:p>
                        </w:tc>
                        <w:tc>
                          <w:tcPr>
                            <w:tcW w:w="1160" w:type="dxa"/>
                            <w:tcBorders>
                              <w:top w:val="nil"/>
                              <w:left w:val="nil"/>
                              <w:bottom w:val="nil"/>
                              <w:right w:val="nil"/>
                            </w:tcBorders>
                            <w:shd w:val="clear" w:color="auto" w:fill="auto"/>
                            <w:noWrap/>
                            <w:vAlign w:val="center"/>
                            <w:hideMark/>
                          </w:tcPr>
                          <w:p w14:paraId="0F42893E" w14:textId="77777777" w:rsidR="00D36D98" w:rsidRPr="00733404" w:rsidRDefault="00D36D98" w:rsidP="00D36D98">
                            <w:pPr>
                              <w:jc w:val="center"/>
                              <w:rPr>
                                <w:rFonts w:ascii="Arial" w:hAnsi="Arial" w:cs="Arial"/>
                                <w:b/>
                                <w:bCs/>
                                <w:color w:val="000000"/>
                                <w:sz w:val="20"/>
                              </w:rPr>
                            </w:pPr>
                            <w:r w:rsidRPr="00733404">
                              <w:rPr>
                                <w:rFonts w:ascii="Arial" w:hAnsi="Arial" w:cs="Arial"/>
                                <w:b/>
                                <w:bCs/>
                                <w:color w:val="000000"/>
                                <w:sz w:val="20"/>
                              </w:rPr>
                              <w:t>5.33%</w:t>
                            </w:r>
                          </w:p>
                        </w:tc>
                        <w:tc>
                          <w:tcPr>
                            <w:tcW w:w="1160" w:type="dxa"/>
                            <w:tcBorders>
                              <w:top w:val="nil"/>
                              <w:left w:val="nil"/>
                              <w:bottom w:val="nil"/>
                              <w:right w:val="nil"/>
                            </w:tcBorders>
                            <w:shd w:val="clear" w:color="auto" w:fill="auto"/>
                            <w:noWrap/>
                            <w:vAlign w:val="center"/>
                            <w:hideMark/>
                          </w:tcPr>
                          <w:p w14:paraId="0697C7F3" w14:textId="77777777" w:rsidR="00D36D98" w:rsidRPr="00733404" w:rsidRDefault="00D36D98" w:rsidP="00D36D98">
                            <w:pPr>
                              <w:jc w:val="center"/>
                              <w:rPr>
                                <w:rFonts w:ascii="Arial" w:hAnsi="Arial" w:cs="Arial"/>
                                <w:b/>
                                <w:bCs/>
                                <w:color w:val="000000"/>
                                <w:sz w:val="20"/>
                              </w:rPr>
                            </w:pPr>
                            <w:r w:rsidRPr="00733404">
                              <w:rPr>
                                <w:rFonts w:ascii="Arial" w:hAnsi="Arial" w:cs="Arial"/>
                                <w:b/>
                                <w:bCs/>
                                <w:color w:val="000000"/>
                                <w:sz w:val="20"/>
                              </w:rPr>
                              <w:t>4.83%</w:t>
                            </w:r>
                          </w:p>
                        </w:tc>
                      </w:tr>
                      <w:tr w:rsidR="00D36D98" w:rsidRPr="00E34F67" w14:paraId="403954D2" w14:textId="77777777" w:rsidTr="00D36D98">
                        <w:trPr>
                          <w:trHeight w:val="240"/>
                        </w:trPr>
                        <w:tc>
                          <w:tcPr>
                            <w:tcW w:w="3220" w:type="dxa"/>
                            <w:tcBorders>
                              <w:top w:val="nil"/>
                              <w:left w:val="nil"/>
                              <w:bottom w:val="nil"/>
                              <w:right w:val="nil"/>
                            </w:tcBorders>
                            <w:shd w:val="clear" w:color="auto" w:fill="auto"/>
                            <w:vAlign w:val="center"/>
                            <w:hideMark/>
                          </w:tcPr>
                          <w:p w14:paraId="791AF4A8" w14:textId="77777777" w:rsidR="00D36D98" w:rsidRPr="00733404" w:rsidRDefault="00D36D98" w:rsidP="00D36D98">
                            <w:pPr>
                              <w:rPr>
                                <w:rFonts w:ascii="Arial" w:hAnsi="Arial" w:cs="Arial"/>
                                <w:sz w:val="20"/>
                              </w:rPr>
                            </w:pPr>
                            <w:r w:rsidRPr="00733404">
                              <w:rPr>
                                <w:rFonts w:ascii="Arial" w:hAnsi="Arial" w:cs="Arial"/>
                                <w:sz w:val="20"/>
                              </w:rPr>
                              <w:t>Brandywine Global Fixed</w:t>
                            </w:r>
                          </w:p>
                        </w:tc>
                        <w:tc>
                          <w:tcPr>
                            <w:tcW w:w="1600" w:type="dxa"/>
                            <w:tcBorders>
                              <w:top w:val="nil"/>
                              <w:left w:val="nil"/>
                              <w:bottom w:val="nil"/>
                              <w:right w:val="nil"/>
                            </w:tcBorders>
                            <w:shd w:val="clear" w:color="auto" w:fill="auto"/>
                            <w:noWrap/>
                            <w:vAlign w:val="center"/>
                            <w:hideMark/>
                          </w:tcPr>
                          <w:p w14:paraId="1A28B7FC" w14:textId="77777777" w:rsidR="00D36D98" w:rsidRPr="00733404" w:rsidRDefault="00D36D98" w:rsidP="00D36D98">
                            <w:pPr>
                              <w:jc w:val="right"/>
                              <w:rPr>
                                <w:rFonts w:ascii="Arial" w:hAnsi="Arial" w:cs="Arial"/>
                                <w:color w:val="000000"/>
                                <w:sz w:val="20"/>
                              </w:rPr>
                            </w:pPr>
                            <w:r w:rsidRPr="00733404">
                              <w:rPr>
                                <w:rFonts w:ascii="Arial" w:hAnsi="Arial" w:cs="Arial"/>
                                <w:color w:val="000000"/>
                                <w:sz w:val="20"/>
                              </w:rPr>
                              <w:t>$34,085,200.00</w:t>
                            </w:r>
                          </w:p>
                        </w:tc>
                        <w:tc>
                          <w:tcPr>
                            <w:tcW w:w="1160" w:type="dxa"/>
                            <w:tcBorders>
                              <w:top w:val="nil"/>
                              <w:left w:val="nil"/>
                              <w:bottom w:val="nil"/>
                              <w:right w:val="nil"/>
                            </w:tcBorders>
                            <w:shd w:val="clear" w:color="auto" w:fill="auto"/>
                            <w:noWrap/>
                            <w:vAlign w:val="center"/>
                            <w:hideMark/>
                          </w:tcPr>
                          <w:p w14:paraId="27270834" w14:textId="77777777" w:rsidR="00D36D98" w:rsidRPr="00733404" w:rsidRDefault="00D36D98" w:rsidP="00D36D98">
                            <w:pPr>
                              <w:jc w:val="center"/>
                              <w:rPr>
                                <w:rFonts w:ascii="Arial" w:hAnsi="Arial" w:cs="Arial"/>
                                <w:color w:val="000000"/>
                                <w:sz w:val="20"/>
                              </w:rPr>
                            </w:pPr>
                            <w:r w:rsidRPr="00733404">
                              <w:rPr>
                                <w:rFonts w:ascii="Arial" w:hAnsi="Arial" w:cs="Arial"/>
                                <w:color w:val="000000"/>
                                <w:sz w:val="20"/>
                              </w:rPr>
                              <w:t>6.75%</w:t>
                            </w:r>
                          </w:p>
                        </w:tc>
                        <w:tc>
                          <w:tcPr>
                            <w:tcW w:w="1160" w:type="dxa"/>
                            <w:tcBorders>
                              <w:top w:val="nil"/>
                              <w:left w:val="nil"/>
                              <w:bottom w:val="nil"/>
                              <w:right w:val="nil"/>
                            </w:tcBorders>
                            <w:shd w:val="clear" w:color="auto" w:fill="auto"/>
                            <w:vAlign w:val="center"/>
                            <w:hideMark/>
                          </w:tcPr>
                          <w:p w14:paraId="1F727B93" w14:textId="77777777" w:rsidR="00D36D98" w:rsidRPr="00733404" w:rsidRDefault="00D36D98" w:rsidP="00D36D98">
                            <w:pPr>
                              <w:jc w:val="center"/>
                              <w:rPr>
                                <w:rFonts w:ascii="Arial" w:hAnsi="Arial" w:cs="Arial"/>
                                <w:color w:val="000000"/>
                                <w:sz w:val="20"/>
                              </w:rPr>
                            </w:pPr>
                            <w:r w:rsidRPr="00733404">
                              <w:rPr>
                                <w:rFonts w:ascii="Arial" w:hAnsi="Arial" w:cs="Arial"/>
                                <w:color w:val="000000"/>
                                <w:sz w:val="20"/>
                              </w:rPr>
                              <w:t>-3.75%</w:t>
                            </w:r>
                          </w:p>
                        </w:tc>
                        <w:tc>
                          <w:tcPr>
                            <w:tcW w:w="1160" w:type="dxa"/>
                            <w:tcBorders>
                              <w:top w:val="nil"/>
                              <w:left w:val="nil"/>
                              <w:bottom w:val="nil"/>
                              <w:right w:val="nil"/>
                            </w:tcBorders>
                            <w:shd w:val="clear" w:color="auto" w:fill="auto"/>
                            <w:noWrap/>
                            <w:vAlign w:val="center"/>
                            <w:hideMark/>
                          </w:tcPr>
                          <w:p w14:paraId="05FB713A" w14:textId="77777777" w:rsidR="00D36D98" w:rsidRPr="00733404" w:rsidRDefault="00D36D98" w:rsidP="00D36D98">
                            <w:pPr>
                              <w:jc w:val="center"/>
                              <w:rPr>
                                <w:rFonts w:ascii="Arial" w:hAnsi="Arial" w:cs="Arial"/>
                                <w:color w:val="000000"/>
                                <w:sz w:val="20"/>
                              </w:rPr>
                            </w:pPr>
                            <w:r w:rsidRPr="00733404">
                              <w:rPr>
                                <w:rFonts w:ascii="Arial" w:hAnsi="Arial" w:cs="Arial"/>
                                <w:color w:val="000000"/>
                                <w:sz w:val="20"/>
                              </w:rPr>
                              <w:t>5.33%</w:t>
                            </w:r>
                          </w:p>
                        </w:tc>
                        <w:tc>
                          <w:tcPr>
                            <w:tcW w:w="1160" w:type="dxa"/>
                            <w:tcBorders>
                              <w:top w:val="nil"/>
                              <w:left w:val="nil"/>
                              <w:bottom w:val="nil"/>
                              <w:right w:val="nil"/>
                            </w:tcBorders>
                            <w:shd w:val="clear" w:color="auto" w:fill="auto"/>
                            <w:noWrap/>
                            <w:vAlign w:val="center"/>
                            <w:hideMark/>
                          </w:tcPr>
                          <w:p w14:paraId="1A3361BD" w14:textId="77777777" w:rsidR="00D36D98" w:rsidRPr="00733404" w:rsidRDefault="00D36D98" w:rsidP="00D36D98">
                            <w:pPr>
                              <w:jc w:val="center"/>
                              <w:rPr>
                                <w:rFonts w:ascii="Arial" w:hAnsi="Arial" w:cs="Arial"/>
                                <w:color w:val="000000"/>
                                <w:sz w:val="20"/>
                              </w:rPr>
                            </w:pPr>
                            <w:r w:rsidRPr="00733404">
                              <w:rPr>
                                <w:rFonts w:ascii="Arial" w:hAnsi="Arial" w:cs="Arial"/>
                                <w:color w:val="000000"/>
                                <w:sz w:val="20"/>
                              </w:rPr>
                              <w:t>4.83%</w:t>
                            </w:r>
                          </w:p>
                        </w:tc>
                      </w:tr>
                      <w:tr w:rsidR="00D36D98" w:rsidRPr="00E34F67" w14:paraId="333B0DB4" w14:textId="77777777" w:rsidTr="00D36D98">
                        <w:trPr>
                          <w:trHeight w:val="240"/>
                        </w:trPr>
                        <w:tc>
                          <w:tcPr>
                            <w:tcW w:w="3220" w:type="dxa"/>
                            <w:tcBorders>
                              <w:top w:val="nil"/>
                              <w:left w:val="nil"/>
                              <w:bottom w:val="nil"/>
                              <w:right w:val="nil"/>
                            </w:tcBorders>
                            <w:shd w:val="clear" w:color="auto" w:fill="auto"/>
                            <w:vAlign w:val="center"/>
                            <w:hideMark/>
                          </w:tcPr>
                          <w:p w14:paraId="7277C8DD" w14:textId="77777777" w:rsidR="00D36D98" w:rsidRPr="00733404" w:rsidRDefault="00D36D98" w:rsidP="00D36D98">
                            <w:pPr>
                              <w:rPr>
                                <w:rFonts w:ascii="Arial" w:hAnsi="Arial" w:cs="Arial"/>
                                <w:b/>
                                <w:bCs/>
                                <w:sz w:val="20"/>
                              </w:rPr>
                            </w:pPr>
                            <w:r w:rsidRPr="00733404">
                              <w:rPr>
                                <w:rFonts w:ascii="Arial" w:hAnsi="Arial" w:cs="Arial"/>
                                <w:b/>
                                <w:bCs/>
                                <w:sz w:val="20"/>
                              </w:rPr>
                              <w:t>Real Estate</w:t>
                            </w:r>
                          </w:p>
                        </w:tc>
                        <w:tc>
                          <w:tcPr>
                            <w:tcW w:w="1600" w:type="dxa"/>
                            <w:tcBorders>
                              <w:top w:val="nil"/>
                              <w:left w:val="nil"/>
                              <w:bottom w:val="nil"/>
                              <w:right w:val="nil"/>
                            </w:tcBorders>
                            <w:shd w:val="clear" w:color="auto" w:fill="auto"/>
                            <w:noWrap/>
                            <w:vAlign w:val="center"/>
                            <w:hideMark/>
                          </w:tcPr>
                          <w:p w14:paraId="7861B88C" w14:textId="77777777" w:rsidR="00D36D98" w:rsidRPr="00733404" w:rsidRDefault="00D36D98" w:rsidP="00D36D98">
                            <w:pPr>
                              <w:jc w:val="right"/>
                              <w:rPr>
                                <w:rFonts w:ascii="Arial" w:hAnsi="Arial" w:cs="Arial"/>
                                <w:b/>
                                <w:bCs/>
                                <w:color w:val="000000"/>
                                <w:sz w:val="20"/>
                              </w:rPr>
                            </w:pPr>
                            <w:r w:rsidRPr="00733404">
                              <w:rPr>
                                <w:rFonts w:ascii="Arial" w:hAnsi="Arial" w:cs="Arial"/>
                                <w:b/>
                                <w:bCs/>
                                <w:color w:val="000000"/>
                                <w:sz w:val="20"/>
                              </w:rPr>
                              <w:t>$26,438,468.00</w:t>
                            </w:r>
                          </w:p>
                        </w:tc>
                        <w:tc>
                          <w:tcPr>
                            <w:tcW w:w="1160" w:type="dxa"/>
                            <w:tcBorders>
                              <w:top w:val="nil"/>
                              <w:left w:val="nil"/>
                              <w:bottom w:val="nil"/>
                              <w:right w:val="nil"/>
                            </w:tcBorders>
                            <w:shd w:val="clear" w:color="auto" w:fill="auto"/>
                            <w:noWrap/>
                            <w:vAlign w:val="center"/>
                            <w:hideMark/>
                          </w:tcPr>
                          <w:p w14:paraId="57F1D336" w14:textId="77777777" w:rsidR="00D36D98" w:rsidRPr="00733404" w:rsidRDefault="00D36D98" w:rsidP="00D36D98">
                            <w:pPr>
                              <w:jc w:val="center"/>
                              <w:rPr>
                                <w:rFonts w:ascii="Arial" w:hAnsi="Arial" w:cs="Arial"/>
                                <w:b/>
                                <w:bCs/>
                                <w:color w:val="000000"/>
                                <w:sz w:val="20"/>
                              </w:rPr>
                            </w:pPr>
                            <w:r w:rsidRPr="00733404">
                              <w:rPr>
                                <w:rFonts w:ascii="Arial" w:hAnsi="Arial" w:cs="Arial"/>
                                <w:b/>
                                <w:bCs/>
                                <w:color w:val="000000"/>
                                <w:sz w:val="20"/>
                              </w:rPr>
                              <w:t>5.23%</w:t>
                            </w:r>
                          </w:p>
                        </w:tc>
                        <w:tc>
                          <w:tcPr>
                            <w:tcW w:w="1160" w:type="dxa"/>
                            <w:tcBorders>
                              <w:top w:val="nil"/>
                              <w:left w:val="nil"/>
                              <w:bottom w:val="nil"/>
                              <w:right w:val="nil"/>
                            </w:tcBorders>
                            <w:shd w:val="clear" w:color="auto" w:fill="auto"/>
                            <w:noWrap/>
                            <w:vAlign w:val="center"/>
                            <w:hideMark/>
                          </w:tcPr>
                          <w:p w14:paraId="73409E4C" w14:textId="77777777" w:rsidR="00D36D98" w:rsidRPr="00733404" w:rsidRDefault="00D36D98" w:rsidP="00D36D98">
                            <w:pPr>
                              <w:jc w:val="center"/>
                              <w:rPr>
                                <w:rFonts w:ascii="Arial" w:hAnsi="Arial" w:cs="Arial"/>
                                <w:b/>
                                <w:bCs/>
                                <w:color w:val="000000"/>
                                <w:sz w:val="20"/>
                              </w:rPr>
                            </w:pPr>
                            <w:r w:rsidRPr="00733404">
                              <w:rPr>
                                <w:rFonts w:ascii="Arial" w:hAnsi="Arial" w:cs="Arial"/>
                                <w:b/>
                                <w:bCs/>
                                <w:color w:val="000000"/>
                                <w:sz w:val="20"/>
                              </w:rPr>
                              <w:t>24.99%</w:t>
                            </w:r>
                          </w:p>
                        </w:tc>
                        <w:tc>
                          <w:tcPr>
                            <w:tcW w:w="1160" w:type="dxa"/>
                            <w:tcBorders>
                              <w:top w:val="nil"/>
                              <w:left w:val="nil"/>
                              <w:bottom w:val="nil"/>
                              <w:right w:val="nil"/>
                            </w:tcBorders>
                            <w:shd w:val="clear" w:color="auto" w:fill="auto"/>
                            <w:noWrap/>
                            <w:vAlign w:val="center"/>
                            <w:hideMark/>
                          </w:tcPr>
                          <w:p w14:paraId="1105C817" w14:textId="77777777" w:rsidR="00D36D98" w:rsidRPr="00733404" w:rsidRDefault="00D36D98" w:rsidP="00D36D98">
                            <w:pPr>
                              <w:jc w:val="center"/>
                              <w:rPr>
                                <w:rFonts w:ascii="Arial" w:hAnsi="Arial" w:cs="Arial"/>
                                <w:b/>
                                <w:bCs/>
                                <w:color w:val="000000"/>
                                <w:sz w:val="20"/>
                              </w:rPr>
                            </w:pPr>
                            <w:r w:rsidRPr="00733404">
                              <w:rPr>
                                <w:rFonts w:ascii="Arial" w:hAnsi="Arial" w:cs="Arial"/>
                                <w:b/>
                                <w:bCs/>
                                <w:color w:val="000000"/>
                                <w:sz w:val="20"/>
                              </w:rPr>
                              <w:t>11.01%</w:t>
                            </w:r>
                          </w:p>
                        </w:tc>
                        <w:tc>
                          <w:tcPr>
                            <w:tcW w:w="1160" w:type="dxa"/>
                            <w:tcBorders>
                              <w:top w:val="nil"/>
                              <w:left w:val="nil"/>
                              <w:bottom w:val="nil"/>
                              <w:right w:val="nil"/>
                            </w:tcBorders>
                            <w:shd w:val="clear" w:color="auto" w:fill="auto"/>
                            <w:noWrap/>
                            <w:vAlign w:val="center"/>
                            <w:hideMark/>
                          </w:tcPr>
                          <w:p w14:paraId="25D9E536" w14:textId="77777777" w:rsidR="00D36D98" w:rsidRPr="00733404" w:rsidRDefault="00D36D98" w:rsidP="00D36D98">
                            <w:pPr>
                              <w:jc w:val="center"/>
                              <w:rPr>
                                <w:rFonts w:ascii="Arial" w:hAnsi="Arial" w:cs="Arial"/>
                                <w:b/>
                                <w:bCs/>
                                <w:color w:val="000000"/>
                                <w:sz w:val="20"/>
                              </w:rPr>
                            </w:pPr>
                            <w:r w:rsidRPr="00733404">
                              <w:rPr>
                                <w:rFonts w:ascii="Arial" w:hAnsi="Arial" w:cs="Arial"/>
                                <w:b/>
                                <w:bCs/>
                                <w:color w:val="000000"/>
                                <w:sz w:val="20"/>
                              </w:rPr>
                              <w:t>9.76%</w:t>
                            </w:r>
                          </w:p>
                        </w:tc>
                      </w:tr>
                      <w:tr w:rsidR="00D36D98" w:rsidRPr="00E34F67" w14:paraId="0CF6004F" w14:textId="77777777" w:rsidTr="00D36D98">
                        <w:trPr>
                          <w:trHeight w:val="240"/>
                        </w:trPr>
                        <w:tc>
                          <w:tcPr>
                            <w:tcW w:w="3220" w:type="dxa"/>
                            <w:tcBorders>
                              <w:top w:val="nil"/>
                              <w:left w:val="nil"/>
                              <w:bottom w:val="nil"/>
                              <w:right w:val="nil"/>
                            </w:tcBorders>
                            <w:shd w:val="clear" w:color="auto" w:fill="auto"/>
                            <w:vAlign w:val="center"/>
                            <w:hideMark/>
                          </w:tcPr>
                          <w:p w14:paraId="7B8977FF" w14:textId="77777777" w:rsidR="00D36D98" w:rsidRPr="00733404" w:rsidRDefault="00D36D98" w:rsidP="00D36D98">
                            <w:pPr>
                              <w:rPr>
                                <w:rFonts w:ascii="Arial" w:hAnsi="Arial" w:cs="Arial"/>
                                <w:sz w:val="20"/>
                              </w:rPr>
                            </w:pPr>
                            <w:r w:rsidRPr="00733404">
                              <w:rPr>
                                <w:rFonts w:ascii="Arial" w:hAnsi="Arial" w:cs="Arial"/>
                                <w:sz w:val="20"/>
                              </w:rPr>
                              <w:t>RREEF America REIT II</w:t>
                            </w:r>
                          </w:p>
                        </w:tc>
                        <w:tc>
                          <w:tcPr>
                            <w:tcW w:w="1600" w:type="dxa"/>
                            <w:tcBorders>
                              <w:top w:val="nil"/>
                              <w:left w:val="nil"/>
                              <w:bottom w:val="nil"/>
                              <w:right w:val="nil"/>
                            </w:tcBorders>
                            <w:shd w:val="clear" w:color="auto" w:fill="auto"/>
                            <w:vAlign w:val="center"/>
                            <w:hideMark/>
                          </w:tcPr>
                          <w:p w14:paraId="63CD6806" w14:textId="77777777" w:rsidR="00D36D98" w:rsidRPr="00733404" w:rsidRDefault="00D36D98" w:rsidP="00D36D98">
                            <w:pPr>
                              <w:jc w:val="right"/>
                              <w:rPr>
                                <w:rFonts w:ascii="Arial" w:hAnsi="Arial" w:cs="Arial"/>
                                <w:sz w:val="20"/>
                              </w:rPr>
                            </w:pPr>
                            <w:r w:rsidRPr="00733404">
                              <w:rPr>
                                <w:rFonts w:ascii="Arial" w:hAnsi="Arial" w:cs="Arial"/>
                                <w:sz w:val="20"/>
                              </w:rPr>
                              <w:t>$26,438,468.00</w:t>
                            </w:r>
                          </w:p>
                        </w:tc>
                        <w:tc>
                          <w:tcPr>
                            <w:tcW w:w="1160" w:type="dxa"/>
                            <w:tcBorders>
                              <w:top w:val="nil"/>
                              <w:left w:val="nil"/>
                              <w:bottom w:val="nil"/>
                              <w:right w:val="nil"/>
                            </w:tcBorders>
                            <w:shd w:val="clear" w:color="auto" w:fill="auto"/>
                            <w:vAlign w:val="center"/>
                            <w:hideMark/>
                          </w:tcPr>
                          <w:p w14:paraId="5A1C87B8" w14:textId="77777777" w:rsidR="00D36D98" w:rsidRPr="00733404" w:rsidRDefault="00D36D98" w:rsidP="00D36D98">
                            <w:pPr>
                              <w:jc w:val="center"/>
                              <w:rPr>
                                <w:rFonts w:ascii="Arial" w:hAnsi="Arial" w:cs="Arial"/>
                                <w:sz w:val="20"/>
                              </w:rPr>
                            </w:pPr>
                            <w:r w:rsidRPr="00733404">
                              <w:rPr>
                                <w:rFonts w:ascii="Arial" w:hAnsi="Arial" w:cs="Arial"/>
                                <w:sz w:val="20"/>
                              </w:rPr>
                              <w:t>5.23%</w:t>
                            </w:r>
                          </w:p>
                        </w:tc>
                        <w:tc>
                          <w:tcPr>
                            <w:tcW w:w="1160" w:type="dxa"/>
                            <w:tcBorders>
                              <w:top w:val="nil"/>
                              <w:left w:val="nil"/>
                              <w:bottom w:val="nil"/>
                              <w:right w:val="nil"/>
                            </w:tcBorders>
                            <w:shd w:val="clear" w:color="auto" w:fill="auto"/>
                            <w:noWrap/>
                            <w:vAlign w:val="center"/>
                            <w:hideMark/>
                          </w:tcPr>
                          <w:p w14:paraId="138F7A02" w14:textId="77777777" w:rsidR="00D36D98" w:rsidRPr="00733404" w:rsidRDefault="00D36D98" w:rsidP="00D36D98">
                            <w:pPr>
                              <w:jc w:val="center"/>
                              <w:rPr>
                                <w:rFonts w:ascii="Arial" w:hAnsi="Arial" w:cs="Arial"/>
                                <w:color w:val="000000"/>
                                <w:sz w:val="20"/>
                              </w:rPr>
                            </w:pPr>
                            <w:r w:rsidRPr="00733404">
                              <w:rPr>
                                <w:rFonts w:ascii="Arial" w:hAnsi="Arial" w:cs="Arial"/>
                                <w:color w:val="000000"/>
                                <w:sz w:val="20"/>
                              </w:rPr>
                              <w:t>24.99%</w:t>
                            </w:r>
                          </w:p>
                        </w:tc>
                        <w:tc>
                          <w:tcPr>
                            <w:tcW w:w="1160" w:type="dxa"/>
                            <w:tcBorders>
                              <w:top w:val="nil"/>
                              <w:left w:val="nil"/>
                              <w:bottom w:val="nil"/>
                              <w:right w:val="nil"/>
                            </w:tcBorders>
                            <w:shd w:val="clear" w:color="auto" w:fill="auto"/>
                            <w:noWrap/>
                            <w:vAlign w:val="center"/>
                            <w:hideMark/>
                          </w:tcPr>
                          <w:p w14:paraId="0248623E" w14:textId="77777777" w:rsidR="00D36D98" w:rsidRPr="00733404" w:rsidRDefault="00D36D98" w:rsidP="00D36D98">
                            <w:pPr>
                              <w:jc w:val="center"/>
                              <w:rPr>
                                <w:rFonts w:ascii="Arial" w:hAnsi="Arial" w:cs="Arial"/>
                                <w:color w:val="000000"/>
                                <w:sz w:val="20"/>
                              </w:rPr>
                            </w:pPr>
                            <w:r w:rsidRPr="00733404">
                              <w:rPr>
                                <w:rFonts w:ascii="Arial" w:hAnsi="Arial" w:cs="Arial"/>
                                <w:color w:val="000000"/>
                                <w:sz w:val="20"/>
                              </w:rPr>
                              <w:t>11.01%</w:t>
                            </w:r>
                          </w:p>
                        </w:tc>
                        <w:tc>
                          <w:tcPr>
                            <w:tcW w:w="1160" w:type="dxa"/>
                            <w:tcBorders>
                              <w:top w:val="nil"/>
                              <w:left w:val="nil"/>
                              <w:bottom w:val="nil"/>
                              <w:right w:val="nil"/>
                            </w:tcBorders>
                            <w:shd w:val="clear" w:color="auto" w:fill="auto"/>
                            <w:noWrap/>
                            <w:vAlign w:val="center"/>
                            <w:hideMark/>
                          </w:tcPr>
                          <w:p w14:paraId="2DED8AE3" w14:textId="77777777" w:rsidR="00D36D98" w:rsidRPr="00733404" w:rsidRDefault="00D36D98" w:rsidP="00D36D98">
                            <w:pPr>
                              <w:jc w:val="center"/>
                              <w:rPr>
                                <w:rFonts w:ascii="Arial" w:hAnsi="Arial" w:cs="Arial"/>
                                <w:color w:val="000000"/>
                                <w:sz w:val="20"/>
                              </w:rPr>
                            </w:pPr>
                            <w:r w:rsidRPr="00733404">
                              <w:rPr>
                                <w:rFonts w:ascii="Arial" w:hAnsi="Arial" w:cs="Arial"/>
                                <w:color w:val="000000"/>
                                <w:sz w:val="20"/>
                              </w:rPr>
                              <w:t>9.76%</w:t>
                            </w:r>
                          </w:p>
                        </w:tc>
                      </w:tr>
                      <w:tr w:rsidR="00D36D98" w:rsidRPr="00E34F67" w14:paraId="6FA58927" w14:textId="77777777" w:rsidTr="00733404">
                        <w:trPr>
                          <w:trHeight w:val="240"/>
                        </w:trPr>
                        <w:tc>
                          <w:tcPr>
                            <w:tcW w:w="3220" w:type="dxa"/>
                            <w:tcBorders>
                              <w:top w:val="nil"/>
                              <w:left w:val="nil"/>
                              <w:right w:val="nil"/>
                            </w:tcBorders>
                            <w:shd w:val="clear" w:color="auto" w:fill="auto"/>
                            <w:vAlign w:val="center"/>
                            <w:hideMark/>
                          </w:tcPr>
                          <w:p w14:paraId="54769903" w14:textId="77777777" w:rsidR="00D36D98" w:rsidRPr="00733404" w:rsidRDefault="00D36D98" w:rsidP="00D36D98">
                            <w:pPr>
                              <w:rPr>
                                <w:rFonts w:ascii="Arial" w:hAnsi="Arial" w:cs="Arial"/>
                                <w:b/>
                                <w:bCs/>
                                <w:sz w:val="20"/>
                              </w:rPr>
                            </w:pPr>
                            <w:r w:rsidRPr="00733404">
                              <w:rPr>
                                <w:rFonts w:ascii="Arial" w:hAnsi="Arial" w:cs="Arial"/>
                                <w:b/>
                                <w:bCs/>
                                <w:sz w:val="20"/>
                              </w:rPr>
                              <w:t>Cash Account</w:t>
                            </w:r>
                          </w:p>
                        </w:tc>
                        <w:tc>
                          <w:tcPr>
                            <w:tcW w:w="1600" w:type="dxa"/>
                            <w:tcBorders>
                              <w:top w:val="nil"/>
                              <w:left w:val="nil"/>
                              <w:right w:val="nil"/>
                            </w:tcBorders>
                            <w:shd w:val="clear" w:color="auto" w:fill="auto"/>
                            <w:noWrap/>
                            <w:vAlign w:val="center"/>
                            <w:hideMark/>
                          </w:tcPr>
                          <w:p w14:paraId="64D8D869" w14:textId="77777777" w:rsidR="00D36D98" w:rsidRPr="00733404" w:rsidRDefault="00D36D98" w:rsidP="00D36D98">
                            <w:pPr>
                              <w:jc w:val="right"/>
                              <w:rPr>
                                <w:rFonts w:ascii="Arial" w:hAnsi="Arial" w:cs="Arial"/>
                                <w:b/>
                                <w:bCs/>
                                <w:color w:val="000000"/>
                                <w:sz w:val="20"/>
                              </w:rPr>
                            </w:pPr>
                            <w:r w:rsidRPr="00733404">
                              <w:rPr>
                                <w:rFonts w:ascii="Arial" w:hAnsi="Arial" w:cs="Arial"/>
                                <w:b/>
                                <w:bCs/>
                                <w:color w:val="000000"/>
                                <w:sz w:val="20"/>
                              </w:rPr>
                              <w:t>$3,135,135.00</w:t>
                            </w:r>
                          </w:p>
                        </w:tc>
                        <w:tc>
                          <w:tcPr>
                            <w:tcW w:w="1160" w:type="dxa"/>
                            <w:tcBorders>
                              <w:top w:val="nil"/>
                              <w:left w:val="nil"/>
                              <w:right w:val="nil"/>
                            </w:tcBorders>
                            <w:shd w:val="clear" w:color="auto" w:fill="auto"/>
                            <w:noWrap/>
                            <w:vAlign w:val="center"/>
                            <w:hideMark/>
                          </w:tcPr>
                          <w:p w14:paraId="6DF3298E" w14:textId="77777777" w:rsidR="00D36D98" w:rsidRPr="00733404" w:rsidRDefault="00D36D98" w:rsidP="00D36D98">
                            <w:pPr>
                              <w:jc w:val="center"/>
                              <w:rPr>
                                <w:rFonts w:ascii="Arial" w:hAnsi="Arial" w:cs="Arial"/>
                                <w:b/>
                                <w:bCs/>
                                <w:color w:val="000000"/>
                                <w:sz w:val="20"/>
                              </w:rPr>
                            </w:pPr>
                            <w:r w:rsidRPr="00733404">
                              <w:rPr>
                                <w:rFonts w:ascii="Arial" w:hAnsi="Arial" w:cs="Arial"/>
                                <w:b/>
                                <w:bCs/>
                                <w:color w:val="000000"/>
                                <w:sz w:val="20"/>
                              </w:rPr>
                              <w:t>0.62%</w:t>
                            </w:r>
                          </w:p>
                        </w:tc>
                        <w:tc>
                          <w:tcPr>
                            <w:tcW w:w="1160" w:type="dxa"/>
                            <w:tcBorders>
                              <w:top w:val="nil"/>
                              <w:left w:val="nil"/>
                              <w:right w:val="nil"/>
                            </w:tcBorders>
                            <w:shd w:val="clear" w:color="auto" w:fill="auto"/>
                            <w:noWrap/>
                            <w:vAlign w:val="center"/>
                            <w:hideMark/>
                          </w:tcPr>
                          <w:p w14:paraId="248E1EA1" w14:textId="77777777" w:rsidR="00D36D98" w:rsidRPr="00733404" w:rsidRDefault="00D36D98" w:rsidP="00D36D98">
                            <w:pPr>
                              <w:jc w:val="center"/>
                              <w:rPr>
                                <w:rFonts w:ascii="Arial" w:hAnsi="Arial" w:cs="Arial"/>
                                <w:b/>
                                <w:bCs/>
                                <w:color w:val="000000"/>
                                <w:sz w:val="20"/>
                              </w:rPr>
                            </w:pPr>
                            <w:r w:rsidRPr="00733404">
                              <w:rPr>
                                <w:rFonts w:ascii="Arial" w:hAnsi="Arial" w:cs="Arial"/>
                                <w:b/>
                                <w:bCs/>
                                <w:color w:val="000000"/>
                                <w:sz w:val="20"/>
                              </w:rPr>
                              <w:t>0.03%</w:t>
                            </w:r>
                          </w:p>
                        </w:tc>
                        <w:tc>
                          <w:tcPr>
                            <w:tcW w:w="1160" w:type="dxa"/>
                            <w:tcBorders>
                              <w:top w:val="nil"/>
                              <w:left w:val="nil"/>
                              <w:right w:val="nil"/>
                            </w:tcBorders>
                            <w:shd w:val="clear" w:color="auto" w:fill="auto"/>
                            <w:noWrap/>
                            <w:vAlign w:val="center"/>
                            <w:hideMark/>
                          </w:tcPr>
                          <w:p w14:paraId="7B39CBA5" w14:textId="77777777" w:rsidR="00D36D98" w:rsidRPr="00733404" w:rsidRDefault="00D36D98" w:rsidP="00D36D98">
                            <w:pPr>
                              <w:jc w:val="center"/>
                              <w:rPr>
                                <w:rFonts w:ascii="Arial" w:hAnsi="Arial" w:cs="Arial"/>
                                <w:b/>
                                <w:bCs/>
                                <w:color w:val="000000"/>
                                <w:sz w:val="20"/>
                              </w:rPr>
                            </w:pPr>
                            <w:r w:rsidRPr="00733404">
                              <w:rPr>
                                <w:rFonts w:ascii="Arial" w:hAnsi="Arial" w:cs="Arial"/>
                                <w:b/>
                                <w:bCs/>
                                <w:color w:val="000000"/>
                                <w:sz w:val="20"/>
                              </w:rPr>
                              <w:t>0.92%</w:t>
                            </w:r>
                          </w:p>
                        </w:tc>
                        <w:tc>
                          <w:tcPr>
                            <w:tcW w:w="1160" w:type="dxa"/>
                            <w:tcBorders>
                              <w:top w:val="nil"/>
                              <w:left w:val="nil"/>
                              <w:right w:val="nil"/>
                            </w:tcBorders>
                            <w:shd w:val="clear" w:color="auto" w:fill="auto"/>
                            <w:noWrap/>
                            <w:vAlign w:val="center"/>
                            <w:hideMark/>
                          </w:tcPr>
                          <w:p w14:paraId="73466BE1" w14:textId="77777777" w:rsidR="00D36D98" w:rsidRPr="00733404" w:rsidRDefault="00D36D98" w:rsidP="00D36D98">
                            <w:pPr>
                              <w:jc w:val="center"/>
                              <w:rPr>
                                <w:rFonts w:ascii="Arial" w:hAnsi="Arial" w:cs="Arial"/>
                                <w:b/>
                                <w:bCs/>
                                <w:color w:val="000000"/>
                                <w:sz w:val="20"/>
                              </w:rPr>
                            </w:pPr>
                            <w:r w:rsidRPr="00733404">
                              <w:rPr>
                                <w:rFonts w:ascii="Arial" w:hAnsi="Arial" w:cs="Arial"/>
                                <w:b/>
                                <w:bCs/>
                                <w:color w:val="000000"/>
                                <w:sz w:val="20"/>
                              </w:rPr>
                              <w:t>0.82%</w:t>
                            </w:r>
                          </w:p>
                        </w:tc>
                      </w:tr>
                      <w:tr w:rsidR="00D36D98" w:rsidRPr="00E34F67" w14:paraId="7DD0BE63" w14:textId="77777777" w:rsidTr="00733404">
                        <w:trPr>
                          <w:trHeight w:val="240"/>
                        </w:trPr>
                        <w:tc>
                          <w:tcPr>
                            <w:tcW w:w="3220" w:type="dxa"/>
                            <w:tcBorders>
                              <w:top w:val="nil"/>
                              <w:left w:val="nil"/>
                              <w:bottom w:val="single" w:sz="4" w:space="0" w:color="auto"/>
                              <w:right w:val="nil"/>
                            </w:tcBorders>
                            <w:shd w:val="clear" w:color="auto" w:fill="auto"/>
                            <w:hideMark/>
                          </w:tcPr>
                          <w:p w14:paraId="3C8B8518" w14:textId="77777777" w:rsidR="00D36D98" w:rsidRPr="00733404" w:rsidRDefault="00D36D98" w:rsidP="00D36D98">
                            <w:pPr>
                              <w:rPr>
                                <w:rFonts w:ascii="Arial" w:hAnsi="Arial" w:cs="Arial"/>
                                <w:sz w:val="20"/>
                              </w:rPr>
                            </w:pPr>
                            <w:r w:rsidRPr="00733404">
                              <w:rPr>
                                <w:rFonts w:ascii="Arial" w:hAnsi="Arial" w:cs="Arial"/>
                                <w:sz w:val="20"/>
                              </w:rPr>
                              <w:t>Cash Equivalents</w:t>
                            </w:r>
                          </w:p>
                        </w:tc>
                        <w:tc>
                          <w:tcPr>
                            <w:tcW w:w="1600" w:type="dxa"/>
                            <w:tcBorders>
                              <w:top w:val="nil"/>
                              <w:left w:val="nil"/>
                              <w:bottom w:val="single" w:sz="4" w:space="0" w:color="auto"/>
                              <w:right w:val="nil"/>
                            </w:tcBorders>
                            <w:shd w:val="clear" w:color="auto" w:fill="auto"/>
                            <w:noWrap/>
                            <w:vAlign w:val="center"/>
                            <w:hideMark/>
                          </w:tcPr>
                          <w:p w14:paraId="4F7DC129" w14:textId="77777777" w:rsidR="00D36D98" w:rsidRPr="00733404" w:rsidRDefault="00D36D98" w:rsidP="00D36D98">
                            <w:pPr>
                              <w:jc w:val="right"/>
                              <w:rPr>
                                <w:rFonts w:ascii="Arial" w:hAnsi="Arial" w:cs="Arial"/>
                                <w:color w:val="000000"/>
                                <w:sz w:val="20"/>
                              </w:rPr>
                            </w:pPr>
                            <w:r w:rsidRPr="00733404">
                              <w:rPr>
                                <w:rFonts w:ascii="Arial" w:hAnsi="Arial" w:cs="Arial"/>
                                <w:color w:val="000000"/>
                                <w:sz w:val="20"/>
                              </w:rPr>
                              <w:t>$3,135,135.00</w:t>
                            </w:r>
                          </w:p>
                        </w:tc>
                        <w:tc>
                          <w:tcPr>
                            <w:tcW w:w="1160" w:type="dxa"/>
                            <w:tcBorders>
                              <w:top w:val="nil"/>
                              <w:left w:val="nil"/>
                              <w:bottom w:val="single" w:sz="4" w:space="0" w:color="auto"/>
                              <w:right w:val="nil"/>
                            </w:tcBorders>
                            <w:shd w:val="clear" w:color="auto" w:fill="auto"/>
                            <w:noWrap/>
                            <w:hideMark/>
                          </w:tcPr>
                          <w:p w14:paraId="26681AC3" w14:textId="77777777" w:rsidR="00D36D98" w:rsidRPr="00733404" w:rsidRDefault="00D36D98" w:rsidP="00D36D98">
                            <w:pPr>
                              <w:jc w:val="center"/>
                              <w:rPr>
                                <w:rFonts w:ascii="Arial" w:hAnsi="Arial" w:cs="Arial"/>
                                <w:color w:val="000000"/>
                                <w:sz w:val="20"/>
                              </w:rPr>
                            </w:pPr>
                            <w:r w:rsidRPr="00733404">
                              <w:rPr>
                                <w:rFonts w:ascii="Arial" w:hAnsi="Arial" w:cs="Arial"/>
                                <w:color w:val="000000"/>
                                <w:sz w:val="20"/>
                              </w:rPr>
                              <w:t>0.62%</w:t>
                            </w:r>
                          </w:p>
                        </w:tc>
                        <w:tc>
                          <w:tcPr>
                            <w:tcW w:w="1160" w:type="dxa"/>
                            <w:tcBorders>
                              <w:top w:val="nil"/>
                              <w:left w:val="nil"/>
                              <w:bottom w:val="single" w:sz="4" w:space="0" w:color="auto"/>
                              <w:right w:val="nil"/>
                            </w:tcBorders>
                            <w:shd w:val="clear" w:color="auto" w:fill="auto"/>
                            <w:noWrap/>
                            <w:hideMark/>
                          </w:tcPr>
                          <w:p w14:paraId="02D76EA7" w14:textId="77777777" w:rsidR="00D36D98" w:rsidRPr="00733404" w:rsidRDefault="00D36D98" w:rsidP="00D36D98">
                            <w:pPr>
                              <w:jc w:val="center"/>
                              <w:rPr>
                                <w:rFonts w:ascii="Arial" w:hAnsi="Arial" w:cs="Arial"/>
                                <w:color w:val="000000"/>
                                <w:sz w:val="20"/>
                              </w:rPr>
                            </w:pPr>
                            <w:r w:rsidRPr="00733404">
                              <w:rPr>
                                <w:rFonts w:ascii="Arial" w:hAnsi="Arial" w:cs="Arial"/>
                                <w:color w:val="000000"/>
                                <w:sz w:val="20"/>
                              </w:rPr>
                              <w:t>0.03%</w:t>
                            </w:r>
                          </w:p>
                        </w:tc>
                        <w:tc>
                          <w:tcPr>
                            <w:tcW w:w="1160" w:type="dxa"/>
                            <w:tcBorders>
                              <w:top w:val="nil"/>
                              <w:left w:val="nil"/>
                              <w:bottom w:val="single" w:sz="4" w:space="0" w:color="auto"/>
                              <w:right w:val="nil"/>
                            </w:tcBorders>
                            <w:shd w:val="clear" w:color="auto" w:fill="auto"/>
                            <w:noWrap/>
                            <w:hideMark/>
                          </w:tcPr>
                          <w:p w14:paraId="1DBCBEE8" w14:textId="77777777" w:rsidR="00D36D98" w:rsidRPr="00733404" w:rsidRDefault="00D36D98" w:rsidP="00D36D98">
                            <w:pPr>
                              <w:jc w:val="center"/>
                              <w:rPr>
                                <w:rFonts w:ascii="Arial" w:hAnsi="Arial" w:cs="Arial"/>
                                <w:color w:val="000000"/>
                                <w:sz w:val="20"/>
                              </w:rPr>
                            </w:pPr>
                            <w:r w:rsidRPr="00733404">
                              <w:rPr>
                                <w:rFonts w:ascii="Arial" w:hAnsi="Arial" w:cs="Arial"/>
                                <w:color w:val="000000"/>
                                <w:sz w:val="20"/>
                              </w:rPr>
                              <w:t>0.92%</w:t>
                            </w:r>
                          </w:p>
                        </w:tc>
                        <w:tc>
                          <w:tcPr>
                            <w:tcW w:w="1160" w:type="dxa"/>
                            <w:tcBorders>
                              <w:top w:val="nil"/>
                              <w:left w:val="nil"/>
                              <w:bottom w:val="single" w:sz="4" w:space="0" w:color="auto"/>
                              <w:right w:val="nil"/>
                            </w:tcBorders>
                            <w:shd w:val="clear" w:color="auto" w:fill="auto"/>
                            <w:noWrap/>
                            <w:hideMark/>
                          </w:tcPr>
                          <w:p w14:paraId="6CF493A3" w14:textId="77777777" w:rsidR="00D36D98" w:rsidRPr="00733404" w:rsidRDefault="00D36D98" w:rsidP="00D36D98">
                            <w:pPr>
                              <w:jc w:val="center"/>
                              <w:rPr>
                                <w:rFonts w:ascii="Arial" w:hAnsi="Arial" w:cs="Arial"/>
                                <w:color w:val="000000"/>
                                <w:sz w:val="20"/>
                              </w:rPr>
                            </w:pPr>
                            <w:r w:rsidRPr="00733404">
                              <w:rPr>
                                <w:rFonts w:ascii="Arial" w:hAnsi="Arial" w:cs="Arial"/>
                                <w:color w:val="000000"/>
                                <w:sz w:val="20"/>
                              </w:rPr>
                              <w:t>0.82%</w:t>
                            </w:r>
                          </w:p>
                        </w:tc>
                      </w:tr>
                      <w:tr w:rsidR="00D36D98" w:rsidRPr="00E34F67" w14:paraId="059ECA99" w14:textId="77777777" w:rsidTr="00733404">
                        <w:trPr>
                          <w:trHeight w:val="240"/>
                        </w:trPr>
                        <w:tc>
                          <w:tcPr>
                            <w:tcW w:w="3220" w:type="dxa"/>
                            <w:tcBorders>
                              <w:top w:val="single" w:sz="4" w:space="0" w:color="auto"/>
                              <w:left w:val="nil"/>
                              <w:right w:val="nil"/>
                            </w:tcBorders>
                            <w:shd w:val="clear" w:color="auto" w:fill="auto"/>
                            <w:vAlign w:val="center"/>
                            <w:hideMark/>
                          </w:tcPr>
                          <w:p w14:paraId="4C24C4A4" w14:textId="77777777" w:rsidR="00D36D98" w:rsidRPr="00733404" w:rsidRDefault="00D36D98" w:rsidP="00D36D98">
                            <w:pPr>
                              <w:rPr>
                                <w:rFonts w:ascii="Arial" w:hAnsi="Arial" w:cs="Arial"/>
                                <w:b/>
                                <w:bCs/>
                                <w:sz w:val="20"/>
                              </w:rPr>
                            </w:pPr>
                            <w:r w:rsidRPr="00733404">
                              <w:rPr>
                                <w:rFonts w:ascii="Arial" w:hAnsi="Arial" w:cs="Arial"/>
                                <w:b/>
                                <w:bCs/>
                                <w:sz w:val="20"/>
                              </w:rPr>
                              <w:t>Total Fund</w:t>
                            </w:r>
                          </w:p>
                        </w:tc>
                        <w:tc>
                          <w:tcPr>
                            <w:tcW w:w="1600" w:type="dxa"/>
                            <w:tcBorders>
                              <w:top w:val="single" w:sz="4" w:space="0" w:color="auto"/>
                              <w:left w:val="nil"/>
                              <w:right w:val="nil"/>
                            </w:tcBorders>
                            <w:shd w:val="clear" w:color="auto" w:fill="auto"/>
                            <w:vAlign w:val="center"/>
                            <w:hideMark/>
                          </w:tcPr>
                          <w:p w14:paraId="399897FA" w14:textId="77777777" w:rsidR="00D36D98" w:rsidRPr="00733404" w:rsidRDefault="00D36D98" w:rsidP="00D36D98">
                            <w:pPr>
                              <w:jc w:val="right"/>
                              <w:rPr>
                                <w:rFonts w:ascii="Arial" w:hAnsi="Arial" w:cs="Arial"/>
                                <w:b/>
                                <w:bCs/>
                                <w:sz w:val="20"/>
                              </w:rPr>
                            </w:pPr>
                            <w:r w:rsidRPr="00733404">
                              <w:rPr>
                                <w:rFonts w:ascii="Arial" w:hAnsi="Arial" w:cs="Arial"/>
                                <w:b/>
                                <w:bCs/>
                                <w:sz w:val="20"/>
                              </w:rPr>
                              <w:t>$505,057,498.00</w:t>
                            </w:r>
                          </w:p>
                        </w:tc>
                        <w:tc>
                          <w:tcPr>
                            <w:tcW w:w="1160" w:type="dxa"/>
                            <w:tcBorders>
                              <w:top w:val="single" w:sz="4" w:space="0" w:color="auto"/>
                              <w:left w:val="nil"/>
                              <w:right w:val="nil"/>
                            </w:tcBorders>
                            <w:shd w:val="clear" w:color="auto" w:fill="auto"/>
                            <w:vAlign w:val="center"/>
                            <w:hideMark/>
                          </w:tcPr>
                          <w:p w14:paraId="2E0B27D7" w14:textId="77777777" w:rsidR="00D36D98" w:rsidRPr="00733404" w:rsidRDefault="00D36D98" w:rsidP="00D36D98">
                            <w:pPr>
                              <w:jc w:val="center"/>
                              <w:rPr>
                                <w:rFonts w:ascii="Arial" w:hAnsi="Arial" w:cs="Arial"/>
                                <w:b/>
                                <w:bCs/>
                                <w:sz w:val="20"/>
                              </w:rPr>
                            </w:pPr>
                            <w:r w:rsidRPr="00733404">
                              <w:rPr>
                                <w:rFonts w:ascii="Arial" w:hAnsi="Arial" w:cs="Arial"/>
                                <w:b/>
                                <w:bCs/>
                                <w:sz w:val="20"/>
                              </w:rPr>
                              <w:t>100.00%</w:t>
                            </w:r>
                          </w:p>
                        </w:tc>
                        <w:tc>
                          <w:tcPr>
                            <w:tcW w:w="1160" w:type="dxa"/>
                            <w:tcBorders>
                              <w:top w:val="single" w:sz="4" w:space="0" w:color="auto"/>
                              <w:left w:val="nil"/>
                              <w:right w:val="nil"/>
                            </w:tcBorders>
                            <w:shd w:val="clear" w:color="auto" w:fill="auto"/>
                            <w:noWrap/>
                            <w:vAlign w:val="center"/>
                            <w:hideMark/>
                          </w:tcPr>
                          <w:p w14:paraId="7D042AA9" w14:textId="77777777" w:rsidR="00D36D98" w:rsidRPr="00733404" w:rsidRDefault="00D36D98" w:rsidP="00D36D98">
                            <w:pPr>
                              <w:jc w:val="center"/>
                              <w:rPr>
                                <w:rFonts w:ascii="Arial" w:hAnsi="Arial" w:cs="Arial"/>
                                <w:b/>
                                <w:bCs/>
                                <w:color w:val="000000"/>
                                <w:sz w:val="20"/>
                              </w:rPr>
                            </w:pPr>
                            <w:r w:rsidRPr="00733404">
                              <w:rPr>
                                <w:rFonts w:ascii="Arial" w:hAnsi="Arial" w:cs="Arial"/>
                                <w:b/>
                                <w:bCs/>
                                <w:color w:val="000000"/>
                                <w:sz w:val="20"/>
                              </w:rPr>
                              <w:t>12.55%</w:t>
                            </w:r>
                          </w:p>
                        </w:tc>
                        <w:tc>
                          <w:tcPr>
                            <w:tcW w:w="1160" w:type="dxa"/>
                            <w:tcBorders>
                              <w:top w:val="single" w:sz="4" w:space="0" w:color="auto"/>
                              <w:left w:val="nil"/>
                              <w:right w:val="nil"/>
                            </w:tcBorders>
                            <w:shd w:val="clear" w:color="auto" w:fill="auto"/>
                            <w:noWrap/>
                            <w:vAlign w:val="center"/>
                            <w:hideMark/>
                          </w:tcPr>
                          <w:p w14:paraId="23E58125" w14:textId="77777777" w:rsidR="00D36D98" w:rsidRPr="00733404" w:rsidRDefault="00D36D98" w:rsidP="00D36D98">
                            <w:pPr>
                              <w:jc w:val="center"/>
                              <w:rPr>
                                <w:rFonts w:ascii="Arial" w:hAnsi="Arial" w:cs="Arial"/>
                                <w:b/>
                                <w:bCs/>
                                <w:color w:val="000000"/>
                                <w:sz w:val="20"/>
                              </w:rPr>
                            </w:pPr>
                            <w:r w:rsidRPr="00733404">
                              <w:rPr>
                                <w:rFonts w:ascii="Arial" w:hAnsi="Arial" w:cs="Arial"/>
                                <w:b/>
                                <w:bCs/>
                                <w:color w:val="000000"/>
                                <w:sz w:val="20"/>
                              </w:rPr>
                              <w:t>15.04%</w:t>
                            </w:r>
                          </w:p>
                        </w:tc>
                        <w:tc>
                          <w:tcPr>
                            <w:tcW w:w="1160" w:type="dxa"/>
                            <w:tcBorders>
                              <w:top w:val="single" w:sz="4" w:space="0" w:color="auto"/>
                              <w:left w:val="nil"/>
                              <w:right w:val="nil"/>
                            </w:tcBorders>
                            <w:shd w:val="clear" w:color="auto" w:fill="auto"/>
                            <w:noWrap/>
                            <w:vAlign w:val="center"/>
                            <w:hideMark/>
                          </w:tcPr>
                          <w:p w14:paraId="369823B6" w14:textId="77777777" w:rsidR="00D36D98" w:rsidRPr="00733404" w:rsidRDefault="00D36D98" w:rsidP="00D36D98">
                            <w:pPr>
                              <w:jc w:val="center"/>
                              <w:rPr>
                                <w:rFonts w:ascii="Arial" w:hAnsi="Arial" w:cs="Arial"/>
                                <w:b/>
                                <w:bCs/>
                                <w:color w:val="000000"/>
                                <w:sz w:val="20"/>
                              </w:rPr>
                            </w:pPr>
                            <w:r w:rsidRPr="00733404">
                              <w:rPr>
                                <w:rFonts w:ascii="Arial" w:hAnsi="Arial" w:cs="Arial"/>
                                <w:b/>
                                <w:bCs/>
                                <w:color w:val="000000"/>
                                <w:sz w:val="20"/>
                              </w:rPr>
                              <w:t>11.14%</w:t>
                            </w:r>
                          </w:p>
                        </w:tc>
                      </w:tr>
                      <w:tr w:rsidR="00D36D98" w:rsidRPr="00E34F67" w14:paraId="2AB2F631" w14:textId="77777777" w:rsidTr="00733404">
                        <w:trPr>
                          <w:trHeight w:val="240"/>
                        </w:trPr>
                        <w:tc>
                          <w:tcPr>
                            <w:tcW w:w="3220" w:type="dxa"/>
                            <w:tcBorders>
                              <w:left w:val="nil"/>
                              <w:bottom w:val="nil"/>
                              <w:right w:val="nil"/>
                            </w:tcBorders>
                            <w:shd w:val="clear" w:color="auto" w:fill="auto"/>
                            <w:hideMark/>
                          </w:tcPr>
                          <w:p w14:paraId="37CEFC04" w14:textId="77777777" w:rsidR="00D36D98" w:rsidRPr="00733404" w:rsidRDefault="00D36D98" w:rsidP="00D36D98">
                            <w:pPr>
                              <w:rPr>
                                <w:rFonts w:ascii="Arial" w:hAnsi="Arial" w:cs="Arial"/>
                                <w:sz w:val="20"/>
                              </w:rPr>
                            </w:pPr>
                            <w:r w:rsidRPr="00733404">
                              <w:rPr>
                                <w:rFonts w:ascii="Arial" w:hAnsi="Arial" w:cs="Arial"/>
                                <w:sz w:val="20"/>
                              </w:rPr>
                              <w:t xml:space="preserve">Target*   </w:t>
                            </w:r>
                          </w:p>
                        </w:tc>
                        <w:tc>
                          <w:tcPr>
                            <w:tcW w:w="1600" w:type="dxa"/>
                            <w:tcBorders>
                              <w:left w:val="nil"/>
                              <w:bottom w:val="nil"/>
                              <w:right w:val="nil"/>
                            </w:tcBorders>
                            <w:shd w:val="clear" w:color="auto" w:fill="auto"/>
                            <w:hideMark/>
                          </w:tcPr>
                          <w:p w14:paraId="1AA6F448" w14:textId="77777777" w:rsidR="00D36D98" w:rsidRPr="00733404" w:rsidRDefault="00D36D98" w:rsidP="00D36D98">
                            <w:pPr>
                              <w:jc w:val="center"/>
                              <w:rPr>
                                <w:rFonts w:ascii="Arial" w:hAnsi="Arial" w:cs="Arial"/>
                                <w:sz w:val="20"/>
                              </w:rPr>
                            </w:pPr>
                            <w:r w:rsidRPr="00733404">
                              <w:rPr>
                                <w:rFonts w:ascii="Arial" w:hAnsi="Arial" w:cs="Arial"/>
                                <w:sz w:val="20"/>
                              </w:rPr>
                              <w:t>-</w:t>
                            </w:r>
                          </w:p>
                        </w:tc>
                        <w:tc>
                          <w:tcPr>
                            <w:tcW w:w="1160" w:type="dxa"/>
                            <w:tcBorders>
                              <w:left w:val="nil"/>
                              <w:bottom w:val="nil"/>
                              <w:right w:val="nil"/>
                            </w:tcBorders>
                            <w:shd w:val="clear" w:color="auto" w:fill="auto"/>
                            <w:hideMark/>
                          </w:tcPr>
                          <w:p w14:paraId="11F624EF" w14:textId="77777777" w:rsidR="00D36D98" w:rsidRPr="00733404" w:rsidRDefault="00D36D98" w:rsidP="00D36D98">
                            <w:pPr>
                              <w:jc w:val="center"/>
                              <w:rPr>
                                <w:rFonts w:ascii="Arial" w:hAnsi="Arial" w:cs="Arial"/>
                                <w:sz w:val="20"/>
                              </w:rPr>
                            </w:pPr>
                            <w:r w:rsidRPr="00733404">
                              <w:rPr>
                                <w:rFonts w:ascii="Arial" w:hAnsi="Arial" w:cs="Arial"/>
                                <w:sz w:val="20"/>
                              </w:rPr>
                              <w:t>-</w:t>
                            </w:r>
                          </w:p>
                        </w:tc>
                        <w:tc>
                          <w:tcPr>
                            <w:tcW w:w="1160" w:type="dxa"/>
                            <w:tcBorders>
                              <w:left w:val="nil"/>
                              <w:bottom w:val="nil"/>
                              <w:right w:val="nil"/>
                            </w:tcBorders>
                            <w:shd w:val="clear" w:color="auto" w:fill="auto"/>
                            <w:noWrap/>
                            <w:hideMark/>
                          </w:tcPr>
                          <w:p w14:paraId="2AF38FD6" w14:textId="77777777" w:rsidR="00D36D98" w:rsidRPr="00733404" w:rsidRDefault="00D36D98" w:rsidP="00D36D98">
                            <w:pPr>
                              <w:jc w:val="center"/>
                              <w:rPr>
                                <w:rFonts w:ascii="Arial" w:hAnsi="Arial" w:cs="Arial"/>
                                <w:color w:val="000000"/>
                                <w:sz w:val="20"/>
                              </w:rPr>
                            </w:pPr>
                            <w:r w:rsidRPr="00733404">
                              <w:rPr>
                                <w:rFonts w:ascii="Arial" w:hAnsi="Arial" w:cs="Arial"/>
                                <w:color w:val="000000"/>
                                <w:sz w:val="20"/>
                              </w:rPr>
                              <w:t>10.80%</w:t>
                            </w:r>
                          </w:p>
                        </w:tc>
                        <w:tc>
                          <w:tcPr>
                            <w:tcW w:w="1160" w:type="dxa"/>
                            <w:tcBorders>
                              <w:left w:val="nil"/>
                              <w:bottom w:val="nil"/>
                              <w:right w:val="nil"/>
                            </w:tcBorders>
                            <w:shd w:val="clear" w:color="auto" w:fill="auto"/>
                            <w:noWrap/>
                            <w:hideMark/>
                          </w:tcPr>
                          <w:p w14:paraId="5CE1C242" w14:textId="77777777" w:rsidR="00D36D98" w:rsidRPr="00733404" w:rsidRDefault="00D36D98" w:rsidP="00D36D98">
                            <w:pPr>
                              <w:jc w:val="center"/>
                              <w:rPr>
                                <w:rFonts w:ascii="Arial" w:hAnsi="Arial" w:cs="Arial"/>
                                <w:color w:val="000000"/>
                                <w:sz w:val="20"/>
                              </w:rPr>
                            </w:pPr>
                            <w:r w:rsidRPr="00733404">
                              <w:rPr>
                                <w:rFonts w:ascii="Arial" w:hAnsi="Arial" w:cs="Arial"/>
                                <w:color w:val="000000"/>
                                <w:sz w:val="20"/>
                              </w:rPr>
                              <w:t>14.00%</w:t>
                            </w:r>
                          </w:p>
                        </w:tc>
                        <w:tc>
                          <w:tcPr>
                            <w:tcW w:w="1160" w:type="dxa"/>
                            <w:tcBorders>
                              <w:left w:val="nil"/>
                              <w:bottom w:val="nil"/>
                              <w:right w:val="nil"/>
                            </w:tcBorders>
                            <w:shd w:val="clear" w:color="auto" w:fill="auto"/>
                            <w:noWrap/>
                            <w:hideMark/>
                          </w:tcPr>
                          <w:p w14:paraId="5BE63CAF" w14:textId="77777777" w:rsidR="00D36D98" w:rsidRPr="00733404" w:rsidRDefault="00D36D98" w:rsidP="00D36D98">
                            <w:pPr>
                              <w:jc w:val="center"/>
                              <w:rPr>
                                <w:rFonts w:ascii="Arial" w:hAnsi="Arial" w:cs="Arial"/>
                                <w:color w:val="000000"/>
                                <w:sz w:val="20"/>
                              </w:rPr>
                            </w:pPr>
                            <w:r w:rsidRPr="00733404">
                              <w:rPr>
                                <w:rFonts w:ascii="Arial" w:hAnsi="Arial" w:cs="Arial"/>
                                <w:color w:val="000000"/>
                                <w:sz w:val="20"/>
                              </w:rPr>
                              <w:t>10.81%</w:t>
                            </w:r>
                          </w:p>
                        </w:tc>
                      </w:tr>
                      <w:tr w:rsidR="00D36D98" w:rsidRPr="00E34F67" w14:paraId="4D71F9C4" w14:textId="77777777" w:rsidTr="00D36D98">
                        <w:trPr>
                          <w:trHeight w:val="240"/>
                        </w:trPr>
                        <w:tc>
                          <w:tcPr>
                            <w:tcW w:w="3220" w:type="dxa"/>
                            <w:tcBorders>
                              <w:top w:val="nil"/>
                              <w:left w:val="nil"/>
                              <w:bottom w:val="nil"/>
                              <w:right w:val="nil"/>
                            </w:tcBorders>
                            <w:shd w:val="clear" w:color="auto" w:fill="auto"/>
                            <w:hideMark/>
                          </w:tcPr>
                          <w:p w14:paraId="2E9B8FDE" w14:textId="551CE0EC" w:rsidR="00D36D98" w:rsidRPr="00733404" w:rsidRDefault="00D36D98" w:rsidP="00D36D98">
                            <w:pPr>
                              <w:rPr>
                                <w:rFonts w:ascii="Arial" w:hAnsi="Arial" w:cs="Arial"/>
                                <w:sz w:val="20"/>
                              </w:rPr>
                            </w:pPr>
                            <w:r w:rsidRPr="00733404">
                              <w:rPr>
                                <w:rFonts w:ascii="Arial" w:hAnsi="Arial" w:cs="Arial"/>
                                <w:sz w:val="20"/>
                              </w:rPr>
                              <w:t xml:space="preserve">5.50% Actuarial Assumption </w:t>
                            </w:r>
                          </w:p>
                        </w:tc>
                        <w:tc>
                          <w:tcPr>
                            <w:tcW w:w="1600" w:type="dxa"/>
                            <w:tcBorders>
                              <w:top w:val="nil"/>
                              <w:left w:val="nil"/>
                              <w:bottom w:val="nil"/>
                              <w:right w:val="nil"/>
                            </w:tcBorders>
                            <w:shd w:val="clear" w:color="auto" w:fill="auto"/>
                            <w:hideMark/>
                          </w:tcPr>
                          <w:p w14:paraId="20EAF7DD" w14:textId="77777777" w:rsidR="00D36D98" w:rsidRPr="00733404" w:rsidRDefault="00D36D98" w:rsidP="00D36D98">
                            <w:pPr>
                              <w:jc w:val="center"/>
                              <w:rPr>
                                <w:rFonts w:ascii="Arial" w:hAnsi="Arial" w:cs="Arial"/>
                                <w:sz w:val="20"/>
                              </w:rPr>
                            </w:pPr>
                            <w:r w:rsidRPr="00733404">
                              <w:rPr>
                                <w:rFonts w:ascii="Arial" w:hAnsi="Arial" w:cs="Arial"/>
                                <w:sz w:val="20"/>
                              </w:rPr>
                              <w:t>-</w:t>
                            </w:r>
                          </w:p>
                        </w:tc>
                        <w:tc>
                          <w:tcPr>
                            <w:tcW w:w="1160" w:type="dxa"/>
                            <w:tcBorders>
                              <w:top w:val="nil"/>
                              <w:left w:val="nil"/>
                              <w:bottom w:val="nil"/>
                              <w:right w:val="nil"/>
                            </w:tcBorders>
                            <w:shd w:val="clear" w:color="auto" w:fill="auto"/>
                            <w:hideMark/>
                          </w:tcPr>
                          <w:p w14:paraId="7133A64F" w14:textId="77777777" w:rsidR="00D36D98" w:rsidRPr="00733404" w:rsidRDefault="00D36D98" w:rsidP="00D36D98">
                            <w:pPr>
                              <w:jc w:val="center"/>
                              <w:rPr>
                                <w:rFonts w:ascii="Arial" w:hAnsi="Arial" w:cs="Arial"/>
                                <w:sz w:val="20"/>
                              </w:rPr>
                            </w:pPr>
                            <w:r w:rsidRPr="00733404">
                              <w:rPr>
                                <w:rFonts w:ascii="Arial" w:hAnsi="Arial" w:cs="Arial"/>
                                <w:sz w:val="20"/>
                              </w:rPr>
                              <w:t>-</w:t>
                            </w:r>
                          </w:p>
                        </w:tc>
                        <w:tc>
                          <w:tcPr>
                            <w:tcW w:w="1160" w:type="dxa"/>
                            <w:tcBorders>
                              <w:top w:val="nil"/>
                              <w:left w:val="nil"/>
                              <w:bottom w:val="nil"/>
                              <w:right w:val="nil"/>
                            </w:tcBorders>
                            <w:shd w:val="clear" w:color="auto" w:fill="auto"/>
                            <w:noWrap/>
                            <w:hideMark/>
                          </w:tcPr>
                          <w:p w14:paraId="65801A69" w14:textId="77777777" w:rsidR="00D36D98" w:rsidRPr="00733404" w:rsidRDefault="00D36D98" w:rsidP="00D36D98">
                            <w:pPr>
                              <w:jc w:val="center"/>
                              <w:rPr>
                                <w:rFonts w:ascii="Arial" w:hAnsi="Arial" w:cs="Arial"/>
                                <w:color w:val="000000"/>
                                <w:sz w:val="20"/>
                              </w:rPr>
                            </w:pPr>
                            <w:r w:rsidRPr="00733404">
                              <w:rPr>
                                <w:rFonts w:ascii="Arial" w:hAnsi="Arial" w:cs="Arial"/>
                                <w:color w:val="000000"/>
                                <w:sz w:val="20"/>
                              </w:rPr>
                              <w:t>5.50%</w:t>
                            </w:r>
                          </w:p>
                        </w:tc>
                        <w:tc>
                          <w:tcPr>
                            <w:tcW w:w="1160" w:type="dxa"/>
                            <w:tcBorders>
                              <w:top w:val="nil"/>
                              <w:left w:val="nil"/>
                              <w:bottom w:val="nil"/>
                              <w:right w:val="nil"/>
                            </w:tcBorders>
                            <w:shd w:val="clear" w:color="auto" w:fill="auto"/>
                            <w:noWrap/>
                            <w:hideMark/>
                          </w:tcPr>
                          <w:p w14:paraId="7E8215C4" w14:textId="77777777" w:rsidR="00D36D98" w:rsidRPr="00733404" w:rsidRDefault="00D36D98" w:rsidP="00D36D98">
                            <w:pPr>
                              <w:jc w:val="center"/>
                              <w:rPr>
                                <w:rFonts w:ascii="Arial" w:hAnsi="Arial" w:cs="Arial"/>
                                <w:color w:val="000000"/>
                                <w:sz w:val="20"/>
                              </w:rPr>
                            </w:pPr>
                            <w:r w:rsidRPr="00733404">
                              <w:rPr>
                                <w:rFonts w:ascii="Arial" w:hAnsi="Arial" w:cs="Arial"/>
                                <w:color w:val="000000"/>
                                <w:sz w:val="20"/>
                              </w:rPr>
                              <w:t>5.67%</w:t>
                            </w:r>
                          </w:p>
                        </w:tc>
                        <w:tc>
                          <w:tcPr>
                            <w:tcW w:w="1160" w:type="dxa"/>
                            <w:tcBorders>
                              <w:top w:val="nil"/>
                              <w:left w:val="nil"/>
                              <w:bottom w:val="nil"/>
                              <w:right w:val="nil"/>
                            </w:tcBorders>
                            <w:shd w:val="clear" w:color="auto" w:fill="auto"/>
                            <w:noWrap/>
                            <w:hideMark/>
                          </w:tcPr>
                          <w:p w14:paraId="5F8A086C" w14:textId="77777777" w:rsidR="00D36D98" w:rsidRPr="00733404" w:rsidRDefault="00D36D98" w:rsidP="00D36D98">
                            <w:pPr>
                              <w:jc w:val="center"/>
                              <w:rPr>
                                <w:rFonts w:ascii="Arial" w:hAnsi="Arial" w:cs="Arial"/>
                                <w:color w:val="000000"/>
                                <w:sz w:val="20"/>
                              </w:rPr>
                            </w:pPr>
                            <w:r w:rsidRPr="00733404">
                              <w:rPr>
                                <w:rFonts w:ascii="Arial" w:hAnsi="Arial" w:cs="Arial"/>
                                <w:color w:val="000000"/>
                                <w:sz w:val="20"/>
                              </w:rPr>
                              <w:t>5.94%</w:t>
                            </w:r>
                          </w:p>
                        </w:tc>
                      </w:tr>
                      <w:tr w:rsidR="00D36D98" w:rsidRPr="00E34F67" w14:paraId="638E95EF" w14:textId="77777777" w:rsidTr="00D36D98">
                        <w:trPr>
                          <w:trHeight w:val="240"/>
                        </w:trPr>
                        <w:tc>
                          <w:tcPr>
                            <w:tcW w:w="3220" w:type="dxa"/>
                            <w:tcBorders>
                              <w:top w:val="nil"/>
                              <w:left w:val="nil"/>
                              <w:bottom w:val="nil"/>
                              <w:right w:val="nil"/>
                            </w:tcBorders>
                            <w:shd w:val="clear" w:color="auto" w:fill="auto"/>
                            <w:hideMark/>
                          </w:tcPr>
                          <w:p w14:paraId="2887A893" w14:textId="77777777" w:rsidR="00D36D98" w:rsidRPr="00733404" w:rsidRDefault="00D36D98" w:rsidP="00D36D98">
                            <w:pPr>
                              <w:rPr>
                                <w:rFonts w:ascii="Arial" w:hAnsi="Arial" w:cs="Arial"/>
                                <w:sz w:val="20"/>
                              </w:rPr>
                            </w:pPr>
                            <w:r w:rsidRPr="00733404">
                              <w:rPr>
                                <w:rFonts w:ascii="Arial" w:hAnsi="Arial" w:cs="Arial"/>
                                <w:sz w:val="20"/>
                              </w:rPr>
                              <w:t xml:space="preserve">Callan Public Fund </w:t>
                            </w:r>
                            <w:proofErr w:type="spellStart"/>
                            <w:r w:rsidRPr="00733404">
                              <w:rPr>
                                <w:rFonts w:ascii="Arial" w:hAnsi="Arial" w:cs="Arial"/>
                                <w:sz w:val="20"/>
                              </w:rPr>
                              <w:t>Spr</w:t>
                            </w:r>
                            <w:proofErr w:type="spellEnd"/>
                            <w:r w:rsidRPr="00733404">
                              <w:rPr>
                                <w:rFonts w:ascii="Arial" w:hAnsi="Arial" w:cs="Arial"/>
                                <w:sz w:val="20"/>
                              </w:rPr>
                              <w:t xml:space="preserve"> DB  </w:t>
                            </w:r>
                          </w:p>
                        </w:tc>
                        <w:tc>
                          <w:tcPr>
                            <w:tcW w:w="1600" w:type="dxa"/>
                            <w:tcBorders>
                              <w:top w:val="nil"/>
                              <w:left w:val="nil"/>
                              <w:bottom w:val="nil"/>
                              <w:right w:val="nil"/>
                            </w:tcBorders>
                            <w:shd w:val="clear" w:color="auto" w:fill="auto"/>
                            <w:hideMark/>
                          </w:tcPr>
                          <w:p w14:paraId="775AD71B" w14:textId="77777777" w:rsidR="00D36D98" w:rsidRPr="00733404" w:rsidRDefault="00D36D98" w:rsidP="00D36D98">
                            <w:pPr>
                              <w:jc w:val="center"/>
                              <w:rPr>
                                <w:rFonts w:ascii="Arial" w:hAnsi="Arial" w:cs="Arial"/>
                                <w:sz w:val="20"/>
                              </w:rPr>
                            </w:pPr>
                            <w:r w:rsidRPr="00733404">
                              <w:rPr>
                                <w:rFonts w:ascii="Arial" w:hAnsi="Arial" w:cs="Arial"/>
                                <w:sz w:val="20"/>
                              </w:rPr>
                              <w:t>-</w:t>
                            </w:r>
                          </w:p>
                        </w:tc>
                        <w:tc>
                          <w:tcPr>
                            <w:tcW w:w="1160" w:type="dxa"/>
                            <w:tcBorders>
                              <w:top w:val="nil"/>
                              <w:left w:val="nil"/>
                              <w:bottom w:val="nil"/>
                              <w:right w:val="nil"/>
                            </w:tcBorders>
                            <w:shd w:val="clear" w:color="auto" w:fill="auto"/>
                            <w:hideMark/>
                          </w:tcPr>
                          <w:p w14:paraId="72FB207D" w14:textId="77777777" w:rsidR="00D36D98" w:rsidRPr="00733404" w:rsidRDefault="00D36D98" w:rsidP="00D36D98">
                            <w:pPr>
                              <w:jc w:val="center"/>
                              <w:rPr>
                                <w:rFonts w:ascii="Arial" w:hAnsi="Arial" w:cs="Arial"/>
                                <w:sz w:val="20"/>
                              </w:rPr>
                            </w:pPr>
                            <w:r w:rsidRPr="00733404">
                              <w:rPr>
                                <w:rFonts w:ascii="Arial" w:hAnsi="Arial" w:cs="Arial"/>
                                <w:sz w:val="20"/>
                              </w:rPr>
                              <w:t>-</w:t>
                            </w:r>
                          </w:p>
                        </w:tc>
                        <w:tc>
                          <w:tcPr>
                            <w:tcW w:w="1160" w:type="dxa"/>
                            <w:tcBorders>
                              <w:top w:val="nil"/>
                              <w:left w:val="nil"/>
                              <w:bottom w:val="nil"/>
                              <w:right w:val="nil"/>
                            </w:tcBorders>
                            <w:shd w:val="clear" w:color="auto" w:fill="auto"/>
                            <w:noWrap/>
                            <w:hideMark/>
                          </w:tcPr>
                          <w:p w14:paraId="271A5B04" w14:textId="77777777" w:rsidR="00D36D98" w:rsidRPr="00733404" w:rsidRDefault="00D36D98" w:rsidP="00D36D98">
                            <w:pPr>
                              <w:jc w:val="center"/>
                              <w:rPr>
                                <w:rFonts w:ascii="Arial" w:hAnsi="Arial" w:cs="Arial"/>
                                <w:color w:val="000000"/>
                                <w:sz w:val="20"/>
                              </w:rPr>
                            </w:pPr>
                            <w:r w:rsidRPr="00733404">
                              <w:rPr>
                                <w:rFonts w:ascii="Arial" w:hAnsi="Arial" w:cs="Arial"/>
                                <w:color w:val="000000"/>
                                <w:sz w:val="20"/>
                              </w:rPr>
                              <w:t>13.72%</w:t>
                            </w:r>
                          </w:p>
                        </w:tc>
                        <w:tc>
                          <w:tcPr>
                            <w:tcW w:w="1160" w:type="dxa"/>
                            <w:tcBorders>
                              <w:top w:val="nil"/>
                              <w:left w:val="nil"/>
                              <w:bottom w:val="nil"/>
                              <w:right w:val="nil"/>
                            </w:tcBorders>
                            <w:shd w:val="clear" w:color="auto" w:fill="auto"/>
                            <w:noWrap/>
                            <w:hideMark/>
                          </w:tcPr>
                          <w:p w14:paraId="392268D1" w14:textId="77777777" w:rsidR="00D36D98" w:rsidRPr="00733404" w:rsidRDefault="00D36D98" w:rsidP="00D36D98">
                            <w:pPr>
                              <w:jc w:val="center"/>
                              <w:rPr>
                                <w:rFonts w:ascii="Arial" w:hAnsi="Arial" w:cs="Arial"/>
                                <w:color w:val="000000"/>
                                <w:sz w:val="20"/>
                              </w:rPr>
                            </w:pPr>
                            <w:r w:rsidRPr="00733404">
                              <w:rPr>
                                <w:rFonts w:ascii="Arial" w:hAnsi="Arial" w:cs="Arial"/>
                                <w:color w:val="000000"/>
                                <w:sz w:val="20"/>
                              </w:rPr>
                              <w:t>14.82%</w:t>
                            </w:r>
                          </w:p>
                        </w:tc>
                        <w:tc>
                          <w:tcPr>
                            <w:tcW w:w="1160" w:type="dxa"/>
                            <w:tcBorders>
                              <w:top w:val="nil"/>
                              <w:left w:val="nil"/>
                              <w:bottom w:val="nil"/>
                              <w:right w:val="nil"/>
                            </w:tcBorders>
                            <w:shd w:val="clear" w:color="auto" w:fill="auto"/>
                            <w:noWrap/>
                            <w:hideMark/>
                          </w:tcPr>
                          <w:p w14:paraId="781BF4E3" w14:textId="77777777" w:rsidR="00D36D98" w:rsidRPr="00733404" w:rsidRDefault="00D36D98" w:rsidP="00D36D98">
                            <w:pPr>
                              <w:jc w:val="center"/>
                              <w:rPr>
                                <w:rFonts w:ascii="Arial" w:hAnsi="Arial" w:cs="Arial"/>
                                <w:color w:val="000000"/>
                                <w:sz w:val="20"/>
                              </w:rPr>
                            </w:pPr>
                            <w:r w:rsidRPr="00733404">
                              <w:rPr>
                                <w:rFonts w:ascii="Arial" w:hAnsi="Arial" w:cs="Arial"/>
                                <w:color w:val="000000"/>
                                <w:sz w:val="20"/>
                              </w:rPr>
                              <w:t>10.89%</w:t>
                            </w:r>
                          </w:p>
                        </w:tc>
                      </w:tr>
                    </w:tbl>
                    <w:p w14:paraId="5F50C304" w14:textId="77777777" w:rsidR="00967012" w:rsidRPr="00733404" w:rsidRDefault="00967012">
                      <w:pPr>
                        <w:rPr>
                          <w:sz w:val="20"/>
                        </w:rPr>
                      </w:pPr>
                    </w:p>
                  </w:txbxContent>
                </v:textbox>
                <w10:wrap type="through" anchorx="margin" anchory="page"/>
              </v:shape>
            </w:pict>
          </mc:Fallback>
        </mc:AlternateContent>
      </w:r>
      <w:r w:rsidR="005F068C" w:rsidRPr="006816FD">
        <w:rPr>
          <w:rFonts w:ascii="Arial" w:hAnsi="Arial" w:cs="Arial"/>
          <w:noProof/>
          <w:sz w:val="20"/>
        </w:rPr>
        <mc:AlternateContent>
          <mc:Choice Requires="wps">
            <w:drawing>
              <wp:anchor distT="0" distB="0" distL="0" distR="0" simplePos="0" relativeHeight="251664896" behindDoc="0" locked="0" layoutInCell="0" allowOverlap="1" wp14:anchorId="3381A29A" wp14:editId="0F47BC06">
                <wp:simplePos x="0" y="0"/>
                <wp:positionH relativeFrom="page">
                  <wp:posOffset>7479665</wp:posOffset>
                </wp:positionH>
                <wp:positionV relativeFrom="page">
                  <wp:posOffset>822960</wp:posOffset>
                </wp:positionV>
                <wp:extent cx="1270" cy="8437880"/>
                <wp:effectExtent l="2540" t="3810" r="0" b="0"/>
                <wp:wrapSquare wrapText="bothSides"/>
                <wp:docPr id="1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843788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06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7CFE6CC9" id="Line 10" o:spid="_x0000_s1026" style="position:absolute;z-index:2516648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588.95pt,64.8pt" to="589.05pt,72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" o:allowincell="f" stroked="f" strokeweight=".95pt">
                <w10:wrap type="square" anchorx="page" anchory="page"/>
              </v:line>
            </w:pict>
          </mc:Fallback>
        </mc:AlternateContent>
      </w:r>
      <w:r w:rsidR="005F068C" w:rsidRPr="006816FD">
        <w:rPr>
          <w:rFonts w:ascii="Arial" w:hAnsi="Arial" w:cs="Arial"/>
          <w:noProof/>
          <w:sz w:val="20"/>
        </w:rPr>
        <mc:AlternateContent>
          <mc:Choice Requires="wps">
            <w:drawing>
              <wp:anchor distT="0" distB="0" distL="0" distR="0" simplePos="0" relativeHeight="251670016" behindDoc="0" locked="0" layoutInCell="0" allowOverlap="1" wp14:anchorId="4E04EFFF" wp14:editId="2E77DDDC">
                <wp:simplePos x="0" y="0"/>
                <wp:positionH relativeFrom="page">
                  <wp:posOffset>470535</wp:posOffset>
                </wp:positionH>
                <wp:positionV relativeFrom="page">
                  <wp:posOffset>359410</wp:posOffset>
                </wp:positionV>
                <wp:extent cx="5080" cy="9053830"/>
                <wp:effectExtent l="3810" t="0" r="635" b="0"/>
                <wp:wrapSquare wrapText="bothSides"/>
                <wp:docPr id="1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080" cy="905383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06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452F323C" id="Line 11" o:spid="_x0000_s1026" style="position:absolute;flip:x;z-index:2516700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37.05pt,28.3pt" to="37.45pt,74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" o:allowincell="f" stroked="f" strokeweight=".95pt">
                <w10:wrap type="square" anchorx="page" anchory="page"/>
              </v:line>
            </w:pict>
          </mc:Fallback>
        </mc:AlternateContent>
      </w:r>
      <w:r w:rsidR="005F068C" w:rsidRPr="006816FD">
        <w:rPr>
          <w:rFonts w:ascii="Arial" w:hAnsi="Arial" w:cs="Arial"/>
          <w:noProof/>
          <w:sz w:val="20"/>
        </w:rPr>
        <mc:AlternateContent>
          <mc:Choice Requires="wps">
            <w:drawing>
              <wp:anchor distT="0" distB="0" distL="0" distR="0" simplePos="0" relativeHeight="251658752" behindDoc="0" locked="0" layoutInCell="0" allowOverlap="1" wp14:anchorId="4786FAB1" wp14:editId="204C33DE">
                <wp:simplePos x="0" y="0"/>
                <wp:positionH relativeFrom="page">
                  <wp:posOffset>469265</wp:posOffset>
                </wp:positionH>
                <wp:positionV relativeFrom="page">
                  <wp:posOffset>365760</wp:posOffset>
                </wp:positionV>
                <wp:extent cx="6553835" cy="0"/>
                <wp:effectExtent l="2540" t="3810" r="0" b="0"/>
                <wp:wrapSquare wrapText="bothSides"/>
                <wp:docPr id="10"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383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06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45612D7C" id="Line 8" o:spid="_x0000_s1026" style="position:absolute;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36.95pt,28.8pt" to="553pt,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" o:allowincell="f" stroked="f" strokeweight=".95pt">
                <w10:wrap type="square" anchorx="page" anchory="page"/>
              </v:line>
            </w:pict>
          </mc:Fallback>
        </mc:AlternateContent>
      </w:r>
    </w:p>
    <w:p w14:paraId="2681D29E" w14:textId="2EA62658" w:rsidR="008D7DDA" w:rsidRDefault="008D7DDA" w:rsidP="00636180">
      <w:pPr>
        <w:pStyle w:val="BodyText"/>
        <w:spacing w:after="240"/>
        <w:rPr>
          <w:rFonts w:cs="Arial"/>
        </w:rPr>
      </w:pPr>
    </w:p>
    <w:p w14:paraId="14155079" w14:textId="77777777" w:rsidR="00851475" w:rsidRDefault="00851475" w:rsidP="00851475">
      <w:pPr>
        <w:pStyle w:val="BodyText"/>
        <w:spacing w:after="240"/>
        <w:rPr>
          <w:rFonts w:cs="Arial"/>
        </w:rPr>
      </w:pPr>
      <w:r>
        <w:rPr>
          <w:rFonts w:cs="Arial"/>
        </w:rPr>
        <w:t>(1)</w:t>
      </w:r>
    </w:p>
    <w:p w14:paraId="5D79ACAC" w14:textId="20D8ADCC" w:rsidR="00636180" w:rsidRPr="006816FD" w:rsidRDefault="00851475" w:rsidP="00636180">
      <w:pPr>
        <w:pStyle w:val="BodyText"/>
        <w:spacing w:after="240"/>
        <w:rPr>
          <w:rFonts w:cs="Arial"/>
          <w:spacing w:val="-3"/>
        </w:rPr>
      </w:pPr>
      <w:r>
        <w:rPr>
          <w:rFonts w:cs="Arial"/>
        </w:rPr>
        <w:t>T</w:t>
      </w:r>
      <w:r w:rsidR="00495FBD" w:rsidRPr="006816FD">
        <w:rPr>
          <w:rFonts w:cs="Arial"/>
        </w:rPr>
        <w:t>otal fund returns for the last 10 years</w:t>
      </w:r>
      <w:r w:rsidR="002E72BC" w:rsidRPr="006816FD">
        <w:rPr>
          <w:rFonts w:cs="Arial"/>
        </w:rPr>
        <w:t xml:space="preserve"> for </w:t>
      </w:r>
      <w:r w:rsidR="0073705D" w:rsidRPr="006816FD">
        <w:rPr>
          <w:rFonts w:cs="Arial"/>
        </w:rPr>
        <w:t>periods</w:t>
      </w:r>
      <w:r w:rsidR="003C5637" w:rsidRPr="006816FD">
        <w:rPr>
          <w:rFonts w:cs="Arial"/>
        </w:rPr>
        <w:t xml:space="preserve"> </w:t>
      </w:r>
      <w:r w:rsidR="0073705D" w:rsidRPr="006816FD">
        <w:rPr>
          <w:rFonts w:cs="Arial"/>
        </w:rPr>
        <w:t>ending December 31 are shown below</w:t>
      </w:r>
      <w:r w:rsidR="00F67D93">
        <w:rPr>
          <w:rFonts w:cs="Arial"/>
        </w:rPr>
        <w:t>:</w:t>
      </w:r>
    </w:p>
    <w:tbl>
      <w:tblPr>
        <w:tblStyle w:val="TableGrid"/>
        <w:tblpPr w:leftFromText="180" w:rightFromText="180" w:vertAnchor="text" w:horzAnchor="page" w:tblpX="2173" w:tblpY="83"/>
        <w:tblW w:w="409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880"/>
        <w:gridCol w:w="2791"/>
      </w:tblGrid>
      <w:tr w:rsidR="00286E7F" w:rsidRPr="006816FD" w14:paraId="5CD416D7" w14:textId="77777777" w:rsidTr="006F275E">
        <w:tc>
          <w:tcPr>
            <w:tcW w:w="3181" w:type="pct"/>
          </w:tcPr>
          <w:p w14:paraId="1FE221F2" w14:textId="77777777" w:rsidR="00286E7F" w:rsidRPr="006816FD" w:rsidRDefault="00286E7F" w:rsidP="006D3771">
            <w:pPr>
              <w:jc w:val="center"/>
              <w:rPr>
                <w:rFonts w:ascii="Arial" w:hAnsi="Arial" w:cs="Arial"/>
                <w:b/>
                <w:sz w:val="20"/>
                <w:highlight w:val="green"/>
                <w:u w:val="single"/>
              </w:rPr>
            </w:pPr>
            <w:r w:rsidRPr="006816FD">
              <w:rPr>
                <w:rFonts w:ascii="Arial" w:hAnsi="Arial" w:cs="Arial"/>
                <w:b/>
                <w:sz w:val="20"/>
                <w:u w:val="single"/>
              </w:rPr>
              <w:t>Calendar Year</w:t>
            </w:r>
          </w:p>
        </w:tc>
        <w:tc>
          <w:tcPr>
            <w:tcW w:w="1819" w:type="pct"/>
          </w:tcPr>
          <w:p w14:paraId="413D0420" w14:textId="77777777" w:rsidR="00286E7F" w:rsidRPr="006816FD" w:rsidRDefault="00286E7F" w:rsidP="006D3771">
            <w:pPr>
              <w:jc w:val="center"/>
              <w:rPr>
                <w:rFonts w:ascii="Arial" w:hAnsi="Arial" w:cs="Arial"/>
                <w:b/>
                <w:sz w:val="20"/>
                <w:u w:val="single"/>
              </w:rPr>
            </w:pPr>
            <w:r w:rsidRPr="006816FD">
              <w:rPr>
                <w:rFonts w:ascii="Arial" w:hAnsi="Arial" w:cs="Arial"/>
                <w:b/>
                <w:sz w:val="20"/>
                <w:u w:val="single"/>
              </w:rPr>
              <w:t>Investment Returns</w:t>
            </w:r>
          </w:p>
        </w:tc>
      </w:tr>
      <w:tr w:rsidR="000F5DB1" w:rsidRPr="006816FD" w14:paraId="27546D33" w14:textId="77777777" w:rsidTr="006F275E">
        <w:tc>
          <w:tcPr>
            <w:tcW w:w="3181" w:type="pct"/>
            <w:vAlign w:val="bottom"/>
          </w:tcPr>
          <w:p w14:paraId="09F30CCE" w14:textId="43451AC8" w:rsidR="000F5DB1" w:rsidRDefault="000F5DB1" w:rsidP="005831AA">
            <w:pPr>
              <w:jc w:val="center"/>
              <w:rPr>
                <w:rFonts w:ascii="Arial" w:hAnsi="Arial" w:cs="Arial"/>
                <w:sz w:val="20"/>
              </w:rPr>
            </w:pPr>
            <w:r>
              <w:rPr>
                <w:rFonts w:ascii="Arial" w:hAnsi="Arial" w:cs="Arial"/>
                <w:sz w:val="20"/>
              </w:rPr>
              <w:t>2021</w:t>
            </w:r>
          </w:p>
        </w:tc>
        <w:tc>
          <w:tcPr>
            <w:tcW w:w="1819" w:type="pct"/>
            <w:shd w:val="clear" w:color="auto" w:fill="auto"/>
            <w:vAlign w:val="bottom"/>
          </w:tcPr>
          <w:p w14:paraId="4C3EFBF3" w14:textId="5EE6D4A1" w:rsidR="000F5DB1" w:rsidRDefault="000F5DB1" w:rsidP="00BC0FB1">
            <w:pPr>
              <w:tabs>
                <w:tab w:val="decimal" w:pos="1332"/>
              </w:tabs>
              <w:rPr>
                <w:rFonts w:ascii="Arial" w:hAnsi="Arial" w:cs="Arial"/>
                <w:sz w:val="20"/>
              </w:rPr>
            </w:pPr>
            <w:r>
              <w:rPr>
                <w:rFonts w:ascii="Arial" w:hAnsi="Arial" w:cs="Arial"/>
                <w:sz w:val="20"/>
              </w:rPr>
              <w:t>12.45%</w:t>
            </w:r>
          </w:p>
        </w:tc>
      </w:tr>
      <w:tr w:rsidR="002F2F02" w:rsidRPr="006816FD" w14:paraId="62B14036" w14:textId="77777777" w:rsidTr="006F275E">
        <w:tc>
          <w:tcPr>
            <w:tcW w:w="3181" w:type="pct"/>
            <w:vAlign w:val="bottom"/>
          </w:tcPr>
          <w:p w14:paraId="7F978CDF" w14:textId="221F5A27" w:rsidR="002F2F02" w:rsidRDefault="002F2F02" w:rsidP="005831AA">
            <w:pPr>
              <w:jc w:val="center"/>
              <w:rPr>
                <w:rFonts w:ascii="Arial" w:hAnsi="Arial" w:cs="Arial"/>
                <w:sz w:val="20"/>
              </w:rPr>
            </w:pPr>
            <w:r>
              <w:rPr>
                <w:rFonts w:ascii="Arial" w:hAnsi="Arial" w:cs="Arial"/>
                <w:sz w:val="20"/>
              </w:rPr>
              <w:t>2020</w:t>
            </w:r>
          </w:p>
        </w:tc>
        <w:tc>
          <w:tcPr>
            <w:tcW w:w="1819" w:type="pct"/>
            <w:shd w:val="clear" w:color="auto" w:fill="auto"/>
            <w:vAlign w:val="bottom"/>
          </w:tcPr>
          <w:p w14:paraId="740443FD" w14:textId="3CFE883D" w:rsidR="002F2F02" w:rsidRDefault="004357B0" w:rsidP="00BC0FB1">
            <w:pPr>
              <w:tabs>
                <w:tab w:val="decimal" w:pos="1332"/>
              </w:tabs>
              <w:rPr>
                <w:rFonts w:ascii="Arial" w:hAnsi="Arial" w:cs="Arial"/>
                <w:sz w:val="20"/>
              </w:rPr>
            </w:pPr>
            <w:r>
              <w:rPr>
                <w:rFonts w:ascii="Arial" w:hAnsi="Arial" w:cs="Arial"/>
                <w:sz w:val="20"/>
              </w:rPr>
              <w:t>13.41</w:t>
            </w:r>
            <w:r w:rsidR="002F2F02">
              <w:rPr>
                <w:rFonts w:ascii="Arial" w:hAnsi="Arial" w:cs="Arial"/>
                <w:sz w:val="20"/>
              </w:rPr>
              <w:t>%</w:t>
            </w:r>
          </w:p>
        </w:tc>
      </w:tr>
      <w:tr w:rsidR="0048714F" w:rsidRPr="006816FD" w14:paraId="3F621C16" w14:textId="77777777" w:rsidTr="006F275E">
        <w:tc>
          <w:tcPr>
            <w:tcW w:w="3181" w:type="pct"/>
            <w:vAlign w:val="bottom"/>
          </w:tcPr>
          <w:p w14:paraId="4ACE13AC" w14:textId="28EB5C54" w:rsidR="00673255" w:rsidRPr="006816FD" w:rsidRDefault="00673255" w:rsidP="005831AA">
            <w:pPr>
              <w:jc w:val="center"/>
              <w:rPr>
                <w:rFonts w:ascii="Arial" w:hAnsi="Arial" w:cs="Arial"/>
                <w:sz w:val="20"/>
              </w:rPr>
            </w:pPr>
            <w:r>
              <w:rPr>
                <w:rFonts w:ascii="Arial" w:hAnsi="Arial" w:cs="Arial"/>
                <w:sz w:val="20"/>
              </w:rPr>
              <w:t>2019</w:t>
            </w:r>
          </w:p>
        </w:tc>
        <w:tc>
          <w:tcPr>
            <w:tcW w:w="1819" w:type="pct"/>
            <w:shd w:val="clear" w:color="auto" w:fill="auto"/>
            <w:vAlign w:val="bottom"/>
          </w:tcPr>
          <w:p w14:paraId="5ED57E7B" w14:textId="3DC7BC26" w:rsidR="0048714F" w:rsidRDefault="004357B0" w:rsidP="00BC0FB1">
            <w:pPr>
              <w:tabs>
                <w:tab w:val="decimal" w:pos="1332"/>
              </w:tabs>
              <w:rPr>
                <w:rFonts w:ascii="Arial" w:hAnsi="Arial" w:cs="Arial"/>
                <w:sz w:val="20"/>
              </w:rPr>
            </w:pPr>
            <w:r>
              <w:rPr>
                <w:rFonts w:ascii="Arial" w:hAnsi="Arial" w:cs="Arial"/>
                <w:sz w:val="20"/>
              </w:rPr>
              <w:t>18.71</w:t>
            </w:r>
            <w:r w:rsidR="00BC7BB6">
              <w:rPr>
                <w:rFonts w:ascii="Arial" w:hAnsi="Arial" w:cs="Arial"/>
                <w:sz w:val="20"/>
              </w:rPr>
              <w:t>%</w:t>
            </w:r>
          </w:p>
        </w:tc>
      </w:tr>
      <w:tr w:rsidR="007B0E54" w:rsidRPr="006816FD" w14:paraId="6A1E87EF" w14:textId="77777777" w:rsidTr="006F275E">
        <w:tc>
          <w:tcPr>
            <w:tcW w:w="3181" w:type="pct"/>
            <w:vAlign w:val="bottom"/>
          </w:tcPr>
          <w:p w14:paraId="0E51EC23" w14:textId="77777777" w:rsidR="007B0E54" w:rsidRPr="006816FD" w:rsidRDefault="007B0E54" w:rsidP="00E44ED2">
            <w:pPr>
              <w:jc w:val="center"/>
              <w:rPr>
                <w:rFonts w:ascii="Arial" w:hAnsi="Arial" w:cs="Arial"/>
                <w:sz w:val="20"/>
              </w:rPr>
            </w:pPr>
            <w:r w:rsidRPr="006816FD">
              <w:rPr>
                <w:rFonts w:ascii="Arial" w:hAnsi="Arial" w:cs="Arial"/>
                <w:sz w:val="20"/>
              </w:rPr>
              <w:t>201</w:t>
            </w:r>
            <w:r w:rsidR="007F5A1D">
              <w:rPr>
                <w:rFonts w:ascii="Arial" w:hAnsi="Arial" w:cs="Arial"/>
                <w:sz w:val="20"/>
              </w:rPr>
              <w:t>8</w:t>
            </w:r>
          </w:p>
        </w:tc>
        <w:tc>
          <w:tcPr>
            <w:tcW w:w="1819" w:type="pct"/>
            <w:shd w:val="clear" w:color="auto" w:fill="auto"/>
            <w:vAlign w:val="bottom"/>
          </w:tcPr>
          <w:p w14:paraId="77DCBBD3" w14:textId="77777777" w:rsidR="007B0E54" w:rsidRPr="006816FD" w:rsidRDefault="007F5A1D" w:rsidP="00BC0FB1">
            <w:pPr>
              <w:tabs>
                <w:tab w:val="decimal" w:pos="1332"/>
              </w:tabs>
              <w:rPr>
                <w:rFonts w:ascii="Arial" w:hAnsi="Arial" w:cs="Arial"/>
                <w:sz w:val="20"/>
              </w:rPr>
            </w:pPr>
            <w:r>
              <w:rPr>
                <w:rFonts w:ascii="Arial" w:hAnsi="Arial" w:cs="Arial"/>
                <w:sz w:val="20"/>
              </w:rPr>
              <w:t>-5.34</w:t>
            </w:r>
            <w:r w:rsidR="00E44ED2" w:rsidRPr="006816FD">
              <w:rPr>
                <w:rFonts w:ascii="Arial" w:hAnsi="Arial" w:cs="Arial"/>
                <w:sz w:val="20"/>
              </w:rPr>
              <w:t>%</w:t>
            </w:r>
          </w:p>
        </w:tc>
      </w:tr>
      <w:tr w:rsidR="007F5A1D" w:rsidRPr="006816FD" w14:paraId="728D58DB" w14:textId="77777777" w:rsidTr="006F275E">
        <w:tc>
          <w:tcPr>
            <w:tcW w:w="3181" w:type="pct"/>
            <w:vAlign w:val="bottom"/>
          </w:tcPr>
          <w:p w14:paraId="3051C673" w14:textId="77777777" w:rsidR="007F5A1D" w:rsidRPr="006816FD" w:rsidRDefault="007F5A1D" w:rsidP="005831AA">
            <w:pPr>
              <w:jc w:val="center"/>
              <w:rPr>
                <w:rFonts w:ascii="Arial" w:hAnsi="Arial" w:cs="Arial"/>
                <w:sz w:val="20"/>
              </w:rPr>
            </w:pPr>
            <w:r>
              <w:rPr>
                <w:rFonts w:ascii="Arial" w:hAnsi="Arial" w:cs="Arial"/>
                <w:sz w:val="20"/>
              </w:rPr>
              <w:t>2017</w:t>
            </w:r>
          </w:p>
        </w:tc>
        <w:tc>
          <w:tcPr>
            <w:tcW w:w="1819" w:type="pct"/>
            <w:shd w:val="clear" w:color="auto" w:fill="auto"/>
            <w:vAlign w:val="bottom"/>
          </w:tcPr>
          <w:p w14:paraId="4C36EF76" w14:textId="300695C2" w:rsidR="007F5A1D" w:rsidRDefault="004357B0" w:rsidP="00BC0FB1">
            <w:pPr>
              <w:tabs>
                <w:tab w:val="decimal" w:pos="1332"/>
              </w:tabs>
              <w:rPr>
                <w:rFonts w:ascii="Arial" w:hAnsi="Arial" w:cs="Arial"/>
                <w:sz w:val="20"/>
              </w:rPr>
            </w:pPr>
            <w:r>
              <w:rPr>
                <w:rFonts w:ascii="Arial" w:hAnsi="Arial" w:cs="Arial"/>
                <w:sz w:val="20"/>
              </w:rPr>
              <w:t>17.25%</w:t>
            </w:r>
          </w:p>
        </w:tc>
      </w:tr>
      <w:tr w:rsidR="00DD72C3" w:rsidRPr="006816FD" w14:paraId="1770866F" w14:textId="77777777" w:rsidTr="006F275E">
        <w:tc>
          <w:tcPr>
            <w:tcW w:w="3181" w:type="pct"/>
            <w:vAlign w:val="bottom"/>
          </w:tcPr>
          <w:p w14:paraId="3396C557" w14:textId="77777777" w:rsidR="00DD72C3" w:rsidRPr="006816FD" w:rsidRDefault="00DD72C3" w:rsidP="005831AA">
            <w:pPr>
              <w:jc w:val="center"/>
              <w:rPr>
                <w:rFonts w:ascii="Arial" w:hAnsi="Arial" w:cs="Arial"/>
                <w:sz w:val="20"/>
              </w:rPr>
            </w:pPr>
            <w:r>
              <w:rPr>
                <w:rFonts w:ascii="Arial" w:hAnsi="Arial" w:cs="Arial"/>
                <w:sz w:val="20"/>
              </w:rPr>
              <w:t>2016</w:t>
            </w:r>
          </w:p>
        </w:tc>
        <w:tc>
          <w:tcPr>
            <w:tcW w:w="1819" w:type="pct"/>
            <w:shd w:val="clear" w:color="auto" w:fill="auto"/>
            <w:vAlign w:val="bottom"/>
          </w:tcPr>
          <w:p w14:paraId="3A1D7725" w14:textId="20F24623" w:rsidR="00DD72C3" w:rsidRPr="006816FD" w:rsidRDefault="004357B0" w:rsidP="00BC0FB1">
            <w:pPr>
              <w:tabs>
                <w:tab w:val="decimal" w:pos="1332"/>
              </w:tabs>
              <w:rPr>
                <w:rFonts w:ascii="Arial" w:hAnsi="Arial" w:cs="Arial"/>
                <w:sz w:val="20"/>
              </w:rPr>
            </w:pPr>
            <w:r>
              <w:rPr>
                <w:rFonts w:ascii="Arial" w:hAnsi="Arial" w:cs="Arial"/>
                <w:sz w:val="20"/>
              </w:rPr>
              <w:t>6.41%</w:t>
            </w:r>
          </w:p>
        </w:tc>
      </w:tr>
      <w:tr w:rsidR="00F95CF4" w:rsidRPr="006816FD" w14:paraId="5218870D" w14:textId="77777777" w:rsidTr="006F275E">
        <w:tc>
          <w:tcPr>
            <w:tcW w:w="3181" w:type="pct"/>
            <w:vAlign w:val="bottom"/>
          </w:tcPr>
          <w:p w14:paraId="52E20872" w14:textId="77777777" w:rsidR="00F95CF4" w:rsidRPr="006816FD" w:rsidRDefault="000156A9" w:rsidP="005831AA">
            <w:pPr>
              <w:jc w:val="center"/>
              <w:rPr>
                <w:rFonts w:ascii="Arial" w:hAnsi="Arial" w:cs="Arial"/>
                <w:sz w:val="20"/>
              </w:rPr>
            </w:pPr>
            <w:r w:rsidRPr="006816FD">
              <w:rPr>
                <w:rFonts w:ascii="Arial" w:hAnsi="Arial" w:cs="Arial"/>
                <w:sz w:val="20"/>
              </w:rPr>
              <w:t>201</w:t>
            </w:r>
            <w:r w:rsidR="00E44ED2" w:rsidRPr="006816FD">
              <w:rPr>
                <w:rFonts w:ascii="Arial" w:hAnsi="Arial" w:cs="Arial"/>
                <w:sz w:val="20"/>
              </w:rPr>
              <w:t>5</w:t>
            </w:r>
          </w:p>
        </w:tc>
        <w:tc>
          <w:tcPr>
            <w:tcW w:w="1819" w:type="pct"/>
            <w:shd w:val="clear" w:color="auto" w:fill="auto"/>
            <w:vAlign w:val="bottom"/>
          </w:tcPr>
          <w:p w14:paraId="446AD920" w14:textId="7D86AB36" w:rsidR="00F95CF4" w:rsidRPr="006816FD" w:rsidRDefault="004357B0" w:rsidP="00BC0FB1">
            <w:pPr>
              <w:tabs>
                <w:tab w:val="decimal" w:pos="1332"/>
              </w:tabs>
              <w:rPr>
                <w:rFonts w:ascii="Arial" w:hAnsi="Arial" w:cs="Arial"/>
                <w:sz w:val="20"/>
              </w:rPr>
            </w:pPr>
            <w:r>
              <w:rPr>
                <w:rFonts w:ascii="Arial" w:hAnsi="Arial" w:cs="Arial"/>
                <w:sz w:val="20"/>
              </w:rPr>
              <w:t>-0.82%</w:t>
            </w:r>
          </w:p>
        </w:tc>
      </w:tr>
      <w:tr w:rsidR="000156A9" w:rsidRPr="006816FD" w14:paraId="3E7E39FD" w14:textId="77777777" w:rsidTr="006F275E">
        <w:tc>
          <w:tcPr>
            <w:tcW w:w="3181" w:type="pct"/>
            <w:vAlign w:val="bottom"/>
          </w:tcPr>
          <w:p w14:paraId="1201E32E" w14:textId="77777777" w:rsidR="000156A9" w:rsidRPr="006816FD" w:rsidRDefault="000156A9" w:rsidP="000156A9">
            <w:pPr>
              <w:jc w:val="center"/>
              <w:rPr>
                <w:rFonts w:ascii="Arial" w:hAnsi="Arial" w:cs="Arial"/>
                <w:sz w:val="20"/>
              </w:rPr>
            </w:pPr>
            <w:r w:rsidRPr="006816FD">
              <w:rPr>
                <w:rFonts w:ascii="Arial" w:hAnsi="Arial" w:cs="Arial"/>
                <w:sz w:val="20"/>
              </w:rPr>
              <w:t>201</w:t>
            </w:r>
            <w:r w:rsidR="00E44ED2" w:rsidRPr="006816FD">
              <w:rPr>
                <w:rFonts w:ascii="Arial" w:hAnsi="Arial" w:cs="Arial"/>
                <w:sz w:val="20"/>
              </w:rPr>
              <w:t>4</w:t>
            </w:r>
          </w:p>
        </w:tc>
        <w:tc>
          <w:tcPr>
            <w:tcW w:w="1819" w:type="pct"/>
            <w:shd w:val="clear" w:color="auto" w:fill="auto"/>
            <w:vAlign w:val="bottom"/>
          </w:tcPr>
          <w:p w14:paraId="6D750CF0" w14:textId="2E2576A0" w:rsidR="000156A9" w:rsidRPr="006816FD" w:rsidRDefault="004357B0" w:rsidP="000156A9">
            <w:pPr>
              <w:tabs>
                <w:tab w:val="decimal" w:pos="1332"/>
              </w:tabs>
              <w:rPr>
                <w:rFonts w:ascii="Arial" w:hAnsi="Arial" w:cs="Arial"/>
                <w:sz w:val="20"/>
              </w:rPr>
            </w:pPr>
            <w:r>
              <w:rPr>
                <w:rFonts w:ascii="Arial" w:hAnsi="Arial" w:cs="Arial"/>
                <w:sz w:val="20"/>
              </w:rPr>
              <w:t>5.51%</w:t>
            </w:r>
          </w:p>
        </w:tc>
      </w:tr>
      <w:tr w:rsidR="000156A9" w:rsidRPr="006816FD" w14:paraId="4D28C7D1" w14:textId="77777777" w:rsidTr="006F275E">
        <w:tc>
          <w:tcPr>
            <w:tcW w:w="3181" w:type="pct"/>
            <w:vAlign w:val="bottom"/>
          </w:tcPr>
          <w:p w14:paraId="0B8380D8" w14:textId="77777777" w:rsidR="000156A9" w:rsidRPr="006816FD" w:rsidRDefault="000156A9" w:rsidP="000156A9">
            <w:pPr>
              <w:jc w:val="center"/>
              <w:rPr>
                <w:rFonts w:ascii="Arial" w:hAnsi="Arial" w:cs="Arial"/>
                <w:sz w:val="20"/>
              </w:rPr>
            </w:pPr>
            <w:r w:rsidRPr="006816FD">
              <w:rPr>
                <w:rFonts w:ascii="Arial" w:hAnsi="Arial" w:cs="Arial"/>
                <w:sz w:val="20"/>
              </w:rPr>
              <w:t>201</w:t>
            </w:r>
            <w:r w:rsidR="00E44ED2" w:rsidRPr="006816FD">
              <w:rPr>
                <w:rFonts w:ascii="Arial" w:hAnsi="Arial" w:cs="Arial"/>
                <w:sz w:val="20"/>
              </w:rPr>
              <w:t>3</w:t>
            </w:r>
          </w:p>
        </w:tc>
        <w:tc>
          <w:tcPr>
            <w:tcW w:w="1819" w:type="pct"/>
            <w:shd w:val="clear" w:color="auto" w:fill="auto"/>
            <w:vAlign w:val="bottom"/>
          </w:tcPr>
          <w:p w14:paraId="4EF2A174" w14:textId="77777777" w:rsidR="000156A9" w:rsidRPr="006816FD" w:rsidRDefault="00E44ED2" w:rsidP="000156A9">
            <w:pPr>
              <w:tabs>
                <w:tab w:val="decimal" w:pos="1332"/>
              </w:tabs>
              <w:rPr>
                <w:rFonts w:ascii="Arial" w:hAnsi="Arial" w:cs="Arial"/>
                <w:sz w:val="20"/>
              </w:rPr>
            </w:pPr>
            <w:r w:rsidRPr="006816FD">
              <w:rPr>
                <w:rFonts w:ascii="Arial" w:hAnsi="Arial" w:cs="Arial"/>
                <w:sz w:val="20"/>
              </w:rPr>
              <w:t>22.62%</w:t>
            </w:r>
          </w:p>
        </w:tc>
      </w:tr>
      <w:tr w:rsidR="000156A9" w:rsidRPr="006816FD" w14:paraId="7063F8A6" w14:textId="77777777" w:rsidTr="006F275E">
        <w:tc>
          <w:tcPr>
            <w:tcW w:w="3181" w:type="pct"/>
            <w:vAlign w:val="bottom"/>
          </w:tcPr>
          <w:p w14:paraId="30866D40" w14:textId="77777777" w:rsidR="00E44ED2" w:rsidRPr="006816FD" w:rsidRDefault="000156A9" w:rsidP="00E44ED2">
            <w:pPr>
              <w:jc w:val="center"/>
              <w:rPr>
                <w:rFonts w:ascii="Arial" w:hAnsi="Arial" w:cs="Arial"/>
                <w:sz w:val="20"/>
              </w:rPr>
            </w:pPr>
            <w:r w:rsidRPr="006816FD">
              <w:rPr>
                <w:rFonts w:ascii="Arial" w:hAnsi="Arial" w:cs="Arial"/>
                <w:sz w:val="20"/>
              </w:rPr>
              <w:t>201</w:t>
            </w:r>
            <w:r w:rsidR="00E44ED2" w:rsidRPr="006816FD">
              <w:rPr>
                <w:rFonts w:ascii="Arial" w:hAnsi="Arial" w:cs="Arial"/>
                <w:sz w:val="20"/>
              </w:rPr>
              <w:t>2</w:t>
            </w:r>
          </w:p>
        </w:tc>
        <w:tc>
          <w:tcPr>
            <w:tcW w:w="1819" w:type="pct"/>
            <w:shd w:val="clear" w:color="auto" w:fill="auto"/>
            <w:vAlign w:val="bottom"/>
          </w:tcPr>
          <w:p w14:paraId="3019FF4D" w14:textId="77777777" w:rsidR="000156A9" w:rsidRPr="006816FD" w:rsidRDefault="00E44ED2" w:rsidP="000156A9">
            <w:pPr>
              <w:tabs>
                <w:tab w:val="decimal" w:pos="1332"/>
              </w:tabs>
              <w:rPr>
                <w:rFonts w:ascii="Arial" w:hAnsi="Arial" w:cs="Arial"/>
                <w:sz w:val="20"/>
              </w:rPr>
            </w:pPr>
            <w:r w:rsidRPr="006816FD">
              <w:rPr>
                <w:rFonts w:ascii="Arial" w:hAnsi="Arial" w:cs="Arial"/>
                <w:sz w:val="20"/>
              </w:rPr>
              <w:t>12.46%</w:t>
            </w:r>
          </w:p>
        </w:tc>
      </w:tr>
    </w:tbl>
    <w:p w14:paraId="58576486" w14:textId="77777777" w:rsidR="00CC243A" w:rsidRPr="006816FD" w:rsidRDefault="00CC243A" w:rsidP="00636180">
      <w:pPr>
        <w:pStyle w:val="BodyText"/>
        <w:spacing w:after="240"/>
        <w:rPr>
          <w:rFonts w:cs="Arial"/>
          <w:spacing w:val="-3"/>
        </w:rPr>
      </w:pPr>
    </w:p>
    <w:p w14:paraId="2BB848BE" w14:textId="77777777" w:rsidR="00CC243A" w:rsidRPr="006816FD" w:rsidRDefault="00CC243A" w:rsidP="00636180">
      <w:pPr>
        <w:pStyle w:val="BodyText"/>
        <w:spacing w:after="240"/>
        <w:rPr>
          <w:rFonts w:cs="Arial"/>
          <w:spacing w:val="-3"/>
        </w:rPr>
      </w:pPr>
    </w:p>
    <w:p w14:paraId="57CB6642" w14:textId="77777777" w:rsidR="00CC243A" w:rsidRPr="006816FD" w:rsidRDefault="00CC243A" w:rsidP="00636180">
      <w:pPr>
        <w:pStyle w:val="BodyText"/>
        <w:spacing w:after="240"/>
        <w:rPr>
          <w:rFonts w:cs="Arial"/>
          <w:spacing w:val="-3"/>
        </w:rPr>
      </w:pPr>
    </w:p>
    <w:p w14:paraId="311EC586" w14:textId="77777777" w:rsidR="001F54AB" w:rsidRPr="006816FD" w:rsidRDefault="001F54AB" w:rsidP="00636180">
      <w:pPr>
        <w:pStyle w:val="BodyText"/>
        <w:spacing w:after="240"/>
        <w:rPr>
          <w:rFonts w:cs="Arial"/>
          <w:spacing w:val="-3"/>
        </w:rPr>
      </w:pPr>
    </w:p>
    <w:p w14:paraId="048C6D77" w14:textId="77777777" w:rsidR="001F54AB" w:rsidRPr="006816FD" w:rsidRDefault="001F54AB" w:rsidP="00636180">
      <w:pPr>
        <w:pStyle w:val="BodyText"/>
        <w:spacing w:after="240"/>
        <w:rPr>
          <w:rFonts w:cs="Arial"/>
          <w:spacing w:val="-3"/>
        </w:rPr>
      </w:pPr>
    </w:p>
    <w:p w14:paraId="1A502229" w14:textId="77777777" w:rsidR="001F54AB" w:rsidRPr="006816FD" w:rsidRDefault="001F54AB" w:rsidP="00636180">
      <w:pPr>
        <w:pStyle w:val="BodyText"/>
        <w:spacing w:after="240"/>
        <w:rPr>
          <w:rFonts w:cs="Arial"/>
          <w:spacing w:val="-3"/>
        </w:rPr>
      </w:pPr>
    </w:p>
    <w:p w14:paraId="0F3B2DA7" w14:textId="77777777" w:rsidR="00992EDD" w:rsidRPr="006816FD" w:rsidRDefault="00992EDD" w:rsidP="00636180">
      <w:pPr>
        <w:pStyle w:val="BodyText"/>
        <w:spacing w:after="240"/>
        <w:rPr>
          <w:rFonts w:cs="Arial"/>
          <w:spacing w:val="-3"/>
        </w:rPr>
      </w:pPr>
    </w:p>
    <w:p w14:paraId="6C532054" w14:textId="4A461A1B" w:rsidR="00CB2C15" w:rsidRPr="006816FD" w:rsidRDefault="003C5637" w:rsidP="00636180">
      <w:pPr>
        <w:pStyle w:val="BodyText"/>
        <w:spacing w:after="240"/>
        <w:rPr>
          <w:rFonts w:cs="Arial"/>
          <w:spacing w:val="-3"/>
        </w:rPr>
      </w:pPr>
      <w:r w:rsidRPr="006816FD">
        <w:rPr>
          <w:rFonts w:cs="Arial"/>
          <w:spacing w:val="-3"/>
        </w:rPr>
        <w:t xml:space="preserve">A list of the actual investments held by Northern Trust as custodian of the Plan assets as of </w:t>
      </w:r>
      <w:r w:rsidR="00AA3F1A" w:rsidRPr="006816FD">
        <w:rPr>
          <w:rFonts w:cs="Arial"/>
          <w:spacing w:val="-3"/>
        </w:rPr>
        <w:t>December</w:t>
      </w:r>
      <w:r w:rsidR="00BB24C3" w:rsidRPr="006816FD">
        <w:rPr>
          <w:rFonts w:cs="Arial"/>
          <w:spacing w:val="-3"/>
        </w:rPr>
        <w:t xml:space="preserve"> </w:t>
      </w:r>
      <w:r w:rsidRPr="006816FD">
        <w:rPr>
          <w:rFonts w:cs="Arial"/>
          <w:spacing w:val="-3"/>
        </w:rPr>
        <w:t>3</w:t>
      </w:r>
      <w:r w:rsidR="00AA3F1A" w:rsidRPr="006816FD">
        <w:rPr>
          <w:rFonts w:cs="Arial"/>
          <w:spacing w:val="-3"/>
        </w:rPr>
        <w:t>1</w:t>
      </w:r>
      <w:r w:rsidRPr="006816FD">
        <w:rPr>
          <w:rFonts w:cs="Arial"/>
          <w:spacing w:val="-3"/>
        </w:rPr>
        <w:t>, 20</w:t>
      </w:r>
      <w:r w:rsidR="00026B6D">
        <w:rPr>
          <w:rFonts w:cs="Arial"/>
          <w:spacing w:val="-3"/>
        </w:rPr>
        <w:t>2</w:t>
      </w:r>
      <w:r w:rsidR="000F5DB1">
        <w:rPr>
          <w:rFonts w:cs="Arial"/>
          <w:spacing w:val="-3"/>
        </w:rPr>
        <w:t>1</w:t>
      </w:r>
      <w:r w:rsidRPr="006816FD">
        <w:rPr>
          <w:rFonts w:cs="Arial"/>
          <w:spacing w:val="-3"/>
        </w:rPr>
        <w:t xml:space="preserve"> is available upon request from the MARTA Pension office.</w:t>
      </w:r>
    </w:p>
    <w:p w14:paraId="6A317DD2" w14:textId="77777777" w:rsidR="00012A66" w:rsidRDefault="00012A66">
      <w:pPr>
        <w:rPr>
          <w:rFonts w:ascii="Arial" w:hAnsi="Arial" w:cs="Arial"/>
          <w:b/>
          <w:spacing w:val="-3"/>
          <w:sz w:val="20"/>
        </w:rPr>
      </w:pPr>
      <w:r>
        <w:rPr>
          <w:rFonts w:cs="Arial"/>
          <w:b/>
          <w:spacing w:val="-3"/>
        </w:rPr>
        <w:br w:type="page"/>
      </w:r>
    </w:p>
    <w:p w14:paraId="4C0C2D5A" w14:textId="7E645339" w:rsidR="00CB2C15" w:rsidRPr="006816FD" w:rsidRDefault="00511E7A" w:rsidP="00636180">
      <w:pPr>
        <w:pStyle w:val="BodyText"/>
        <w:spacing w:after="240"/>
        <w:rPr>
          <w:rFonts w:cs="Arial"/>
          <w:b/>
          <w:spacing w:val="-3"/>
        </w:rPr>
      </w:pPr>
      <w:r w:rsidRPr="006816FD">
        <w:rPr>
          <w:rFonts w:cs="Arial"/>
          <w:b/>
          <w:spacing w:val="-3"/>
        </w:rPr>
        <w:lastRenderedPageBreak/>
        <w:t xml:space="preserve">Last 10 Years Annualized </w:t>
      </w:r>
      <w:r w:rsidR="00CB2C15" w:rsidRPr="006816FD">
        <w:rPr>
          <w:rFonts w:cs="Arial"/>
          <w:b/>
          <w:spacing w:val="-3"/>
        </w:rPr>
        <w:t>Returns and Rankings fo</w:t>
      </w:r>
      <w:r w:rsidR="0021702D" w:rsidRPr="006816FD">
        <w:rPr>
          <w:rFonts w:cs="Arial"/>
          <w:b/>
          <w:spacing w:val="-3"/>
        </w:rPr>
        <w:t>r Period Ended December 31, 20</w:t>
      </w:r>
      <w:r w:rsidR="00742552">
        <w:rPr>
          <w:rFonts w:cs="Arial"/>
          <w:b/>
          <w:spacing w:val="-3"/>
        </w:rPr>
        <w:t>2</w:t>
      </w:r>
      <w:r w:rsidR="006A12DE">
        <w:rPr>
          <w:rFonts w:cs="Arial"/>
          <w:b/>
          <w:spacing w:val="-3"/>
        </w:rPr>
        <w:t>1</w:t>
      </w:r>
      <w:r w:rsidR="008D7DDA">
        <w:rPr>
          <w:rFonts w:cs="Arial"/>
          <w:b/>
          <w:spacing w:val="-3"/>
        </w:rPr>
        <w:t xml:space="preserve"> </w:t>
      </w:r>
      <w:r w:rsidR="008D7DDA" w:rsidRPr="001D5BE3">
        <w:rPr>
          <w:rFonts w:cs="Arial"/>
          <w:spacing w:val="-3"/>
        </w:rPr>
        <w:t>(1)</w:t>
      </w:r>
    </w:p>
    <w:tbl>
      <w:tblPr>
        <w:tblW w:w="9465" w:type="dxa"/>
        <w:tblInd w:w="180" w:type="dxa"/>
        <w:tblLayout w:type="fixed"/>
        <w:tblLook w:val="04A0" w:firstRow="1" w:lastRow="0" w:firstColumn="1" w:lastColumn="0" w:noHBand="0" w:noVBand="1"/>
      </w:tblPr>
      <w:tblGrid>
        <w:gridCol w:w="6416"/>
        <w:gridCol w:w="1950"/>
        <w:gridCol w:w="1099"/>
      </w:tblGrid>
      <w:tr w:rsidR="00655982" w:rsidRPr="00BD5C2C" w14:paraId="5D607A32" w14:textId="77777777" w:rsidTr="00162E86">
        <w:trPr>
          <w:trHeight w:val="288"/>
        </w:trPr>
        <w:tc>
          <w:tcPr>
            <w:tcW w:w="6416" w:type="dxa"/>
            <w:tcBorders>
              <w:top w:val="nil"/>
              <w:left w:val="nil"/>
              <w:bottom w:val="nil"/>
              <w:right w:val="nil"/>
            </w:tcBorders>
            <w:shd w:val="clear" w:color="auto" w:fill="auto"/>
            <w:noWrap/>
            <w:vAlign w:val="bottom"/>
            <w:hideMark/>
          </w:tcPr>
          <w:p w14:paraId="0A34B2D6" w14:textId="2C183F41" w:rsidR="00655982" w:rsidRPr="00BD5C2C" w:rsidRDefault="00655982" w:rsidP="00121133">
            <w:pPr>
              <w:jc w:val="center"/>
              <w:rPr>
                <w:rFonts w:ascii="Arial" w:hAnsi="Arial" w:cs="Arial"/>
                <w:color w:val="000000"/>
                <w:sz w:val="20"/>
              </w:rPr>
            </w:pPr>
          </w:p>
        </w:tc>
        <w:tc>
          <w:tcPr>
            <w:tcW w:w="1950" w:type="dxa"/>
            <w:tcBorders>
              <w:top w:val="nil"/>
              <w:left w:val="nil"/>
              <w:bottom w:val="nil"/>
              <w:right w:val="single" w:sz="4" w:space="0" w:color="auto"/>
            </w:tcBorders>
            <w:shd w:val="clear" w:color="auto" w:fill="auto"/>
            <w:noWrap/>
            <w:vAlign w:val="bottom"/>
            <w:hideMark/>
          </w:tcPr>
          <w:p w14:paraId="22BD66C1" w14:textId="77777777" w:rsidR="00655982" w:rsidRPr="00BD5C2C" w:rsidRDefault="00655982" w:rsidP="00CB2C15">
            <w:pPr>
              <w:jc w:val="center"/>
              <w:rPr>
                <w:rFonts w:ascii="Arial" w:hAnsi="Arial" w:cs="Arial"/>
                <w:b/>
                <w:bCs/>
                <w:color w:val="000000"/>
                <w:sz w:val="20"/>
              </w:rPr>
            </w:pPr>
            <w:r w:rsidRPr="00BD5C2C">
              <w:rPr>
                <w:rFonts w:ascii="Arial" w:hAnsi="Arial" w:cs="Arial"/>
                <w:b/>
                <w:bCs/>
                <w:color w:val="000000"/>
                <w:sz w:val="20"/>
              </w:rPr>
              <w:t>Last</w:t>
            </w:r>
          </w:p>
        </w:tc>
        <w:tc>
          <w:tcPr>
            <w:tcW w:w="1099" w:type="dxa"/>
            <w:tcBorders>
              <w:top w:val="nil"/>
              <w:left w:val="single" w:sz="4" w:space="0" w:color="auto"/>
              <w:bottom w:val="nil"/>
              <w:right w:val="nil"/>
            </w:tcBorders>
            <w:shd w:val="clear" w:color="auto" w:fill="auto"/>
            <w:vAlign w:val="bottom"/>
          </w:tcPr>
          <w:p w14:paraId="571BB7A1" w14:textId="77777777" w:rsidR="00655982" w:rsidRPr="00BD5C2C" w:rsidRDefault="00942A99" w:rsidP="00655982">
            <w:pPr>
              <w:jc w:val="center"/>
              <w:rPr>
                <w:rFonts w:ascii="Arial" w:hAnsi="Arial" w:cs="Arial"/>
                <w:b/>
                <w:bCs/>
                <w:color w:val="000000"/>
                <w:sz w:val="20"/>
              </w:rPr>
            </w:pPr>
            <w:r w:rsidRPr="00BD5C2C">
              <w:rPr>
                <w:rFonts w:ascii="Arial" w:hAnsi="Arial" w:cs="Arial"/>
                <w:b/>
                <w:bCs/>
                <w:color w:val="000000"/>
                <w:sz w:val="20"/>
              </w:rPr>
              <w:t>Ranking</w:t>
            </w:r>
          </w:p>
        </w:tc>
      </w:tr>
      <w:tr w:rsidR="00655982" w:rsidRPr="00BD5C2C" w14:paraId="0E9F9344" w14:textId="77777777" w:rsidTr="00162E86">
        <w:trPr>
          <w:trHeight w:val="288"/>
        </w:trPr>
        <w:tc>
          <w:tcPr>
            <w:tcW w:w="6416" w:type="dxa"/>
            <w:tcBorders>
              <w:top w:val="nil"/>
              <w:left w:val="nil"/>
              <w:bottom w:val="nil"/>
              <w:right w:val="nil"/>
            </w:tcBorders>
            <w:shd w:val="clear" w:color="auto" w:fill="auto"/>
            <w:noWrap/>
            <w:vAlign w:val="bottom"/>
            <w:hideMark/>
          </w:tcPr>
          <w:p w14:paraId="593CC0C8" w14:textId="77777777" w:rsidR="00655982" w:rsidRPr="00BD5C2C" w:rsidRDefault="00655982" w:rsidP="00121133">
            <w:pPr>
              <w:jc w:val="center"/>
              <w:rPr>
                <w:rFonts w:ascii="Arial" w:hAnsi="Arial" w:cs="Arial"/>
                <w:color w:val="000000"/>
                <w:sz w:val="20"/>
              </w:rPr>
            </w:pPr>
          </w:p>
        </w:tc>
        <w:tc>
          <w:tcPr>
            <w:tcW w:w="1950" w:type="dxa"/>
            <w:tcBorders>
              <w:top w:val="nil"/>
              <w:left w:val="nil"/>
              <w:bottom w:val="nil"/>
              <w:right w:val="single" w:sz="4" w:space="0" w:color="auto"/>
            </w:tcBorders>
            <w:shd w:val="clear" w:color="auto" w:fill="auto"/>
            <w:noWrap/>
            <w:vAlign w:val="bottom"/>
            <w:hideMark/>
          </w:tcPr>
          <w:p w14:paraId="0ABC92B9" w14:textId="77777777" w:rsidR="00655982" w:rsidRPr="00BD5C2C" w:rsidRDefault="00655982" w:rsidP="00CB2C15">
            <w:pPr>
              <w:jc w:val="center"/>
              <w:rPr>
                <w:rFonts w:ascii="Arial" w:hAnsi="Arial" w:cs="Arial"/>
                <w:b/>
                <w:bCs/>
                <w:color w:val="000000"/>
                <w:sz w:val="20"/>
                <w:u w:val="single"/>
              </w:rPr>
            </w:pPr>
            <w:r w:rsidRPr="00BD5C2C">
              <w:rPr>
                <w:rFonts w:ascii="Arial" w:hAnsi="Arial" w:cs="Arial"/>
                <w:b/>
                <w:bCs/>
                <w:color w:val="000000"/>
                <w:sz w:val="20"/>
                <w:u w:val="single"/>
              </w:rPr>
              <w:t>10 Years</w:t>
            </w:r>
          </w:p>
        </w:tc>
        <w:tc>
          <w:tcPr>
            <w:tcW w:w="1099" w:type="dxa"/>
            <w:tcBorders>
              <w:top w:val="nil"/>
              <w:left w:val="single" w:sz="4" w:space="0" w:color="auto"/>
              <w:bottom w:val="nil"/>
              <w:right w:val="nil"/>
            </w:tcBorders>
            <w:shd w:val="clear" w:color="auto" w:fill="auto"/>
            <w:vAlign w:val="bottom"/>
          </w:tcPr>
          <w:p w14:paraId="7F55836B" w14:textId="77777777" w:rsidR="00655982" w:rsidRPr="00BD5C2C" w:rsidRDefault="00655982" w:rsidP="00655982">
            <w:pPr>
              <w:jc w:val="center"/>
              <w:rPr>
                <w:rFonts w:ascii="Arial" w:hAnsi="Arial" w:cs="Arial"/>
                <w:b/>
                <w:bCs/>
                <w:color w:val="000000"/>
                <w:sz w:val="20"/>
                <w:u w:val="single"/>
              </w:rPr>
            </w:pPr>
          </w:p>
        </w:tc>
      </w:tr>
      <w:tr w:rsidR="008B465E" w:rsidRPr="00BD5C2C" w14:paraId="307DC71D" w14:textId="77777777" w:rsidTr="00162E86">
        <w:trPr>
          <w:trHeight w:val="288"/>
        </w:trPr>
        <w:tc>
          <w:tcPr>
            <w:tcW w:w="6416" w:type="dxa"/>
            <w:tcBorders>
              <w:top w:val="nil"/>
              <w:left w:val="nil"/>
              <w:bottom w:val="nil"/>
              <w:right w:val="nil"/>
            </w:tcBorders>
            <w:shd w:val="clear" w:color="auto" w:fill="auto"/>
          </w:tcPr>
          <w:p w14:paraId="1AE140B1" w14:textId="3B22C264" w:rsidR="008B465E" w:rsidRPr="00BD5C2C" w:rsidRDefault="008B465E" w:rsidP="008B465E">
            <w:pPr>
              <w:rPr>
                <w:rFonts w:ascii="Arial" w:hAnsi="Arial" w:cs="Arial"/>
                <w:b/>
                <w:bCs/>
                <w:color w:val="000000"/>
                <w:sz w:val="20"/>
              </w:rPr>
            </w:pPr>
          </w:p>
        </w:tc>
        <w:tc>
          <w:tcPr>
            <w:tcW w:w="1950" w:type="dxa"/>
            <w:tcBorders>
              <w:top w:val="single" w:sz="2" w:space="0" w:color="000000"/>
            </w:tcBorders>
          </w:tcPr>
          <w:p w14:paraId="4E7B877D" w14:textId="6C16A0C6" w:rsidR="008B465E" w:rsidRPr="00BD5C2C" w:rsidRDefault="008B465E" w:rsidP="008B465E">
            <w:pPr>
              <w:jc w:val="center"/>
              <w:rPr>
                <w:rFonts w:ascii="Arial" w:hAnsi="Arial" w:cs="Arial"/>
                <w:b/>
                <w:bCs/>
                <w:color w:val="000000"/>
                <w:sz w:val="20"/>
              </w:rPr>
            </w:pPr>
          </w:p>
        </w:tc>
        <w:tc>
          <w:tcPr>
            <w:tcW w:w="1099" w:type="dxa"/>
            <w:tcBorders>
              <w:top w:val="nil"/>
              <w:left w:val="single" w:sz="4" w:space="0" w:color="auto"/>
              <w:bottom w:val="nil"/>
              <w:right w:val="nil"/>
            </w:tcBorders>
            <w:shd w:val="clear" w:color="auto" w:fill="auto"/>
          </w:tcPr>
          <w:p w14:paraId="7409A14C" w14:textId="46E177CC" w:rsidR="008B465E" w:rsidRPr="00BD5C2C" w:rsidRDefault="008B465E" w:rsidP="008B465E">
            <w:pPr>
              <w:jc w:val="center"/>
              <w:rPr>
                <w:rFonts w:ascii="Arial" w:hAnsi="Arial" w:cs="Arial"/>
                <w:b/>
                <w:bCs/>
                <w:color w:val="000000"/>
                <w:sz w:val="20"/>
              </w:rPr>
            </w:pPr>
          </w:p>
        </w:tc>
      </w:tr>
      <w:tr w:rsidR="00BD5C2C" w:rsidRPr="00BD5C2C" w14:paraId="7D0BF8F1" w14:textId="77777777" w:rsidTr="00733404">
        <w:trPr>
          <w:trHeight w:val="288"/>
        </w:trPr>
        <w:tc>
          <w:tcPr>
            <w:tcW w:w="6416" w:type="dxa"/>
            <w:tcBorders>
              <w:top w:val="single" w:sz="4" w:space="0" w:color="000000"/>
              <w:left w:val="nil"/>
              <w:bottom w:val="nil"/>
              <w:right w:val="nil"/>
            </w:tcBorders>
            <w:shd w:val="clear" w:color="auto" w:fill="auto"/>
          </w:tcPr>
          <w:p w14:paraId="644C6997" w14:textId="69D9B49B" w:rsidR="00BD5C2C" w:rsidRPr="00BD5C2C" w:rsidRDefault="00BD5C2C" w:rsidP="00733404">
            <w:pPr>
              <w:tabs>
                <w:tab w:val="left" w:pos="165"/>
              </w:tabs>
              <w:rPr>
                <w:rFonts w:ascii="Arial" w:hAnsi="Arial" w:cs="Arial"/>
                <w:bCs/>
                <w:color w:val="000000"/>
                <w:sz w:val="20"/>
              </w:rPr>
            </w:pPr>
            <w:r w:rsidRPr="00733404">
              <w:rPr>
                <w:rFonts w:ascii="Arial" w:hAnsi="Arial" w:cs="Arial"/>
                <w:b/>
                <w:bCs/>
                <w:sz w:val="20"/>
              </w:rPr>
              <w:t>Domestic Equity</w:t>
            </w:r>
          </w:p>
        </w:tc>
        <w:tc>
          <w:tcPr>
            <w:tcW w:w="1950" w:type="dxa"/>
            <w:tcBorders>
              <w:top w:val="single" w:sz="4" w:space="0" w:color="000000"/>
              <w:left w:val="nil"/>
              <w:bottom w:val="nil"/>
              <w:right w:val="nil"/>
            </w:tcBorders>
            <w:shd w:val="clear" w:color="auto" w:fill="auto"/>
          </w:tcPr>
          <w:p w14:paraId="627BBFB0" w14:textId="5FF284BC" w:rsidR="00BD5C2C" w:rsidRPr="00BD5C2C" w:rsidRDefault="00BD5C2C" w:rsidP="00BD5C2C">
            <w:pPr>
              <w:jc w:val="center"/>
              <w:rPr>
                <w:rFonts w:ascii="Arial" w:hAnsi="Arial" w:cs="Arial"/>
                <w:bCs/>
                <w:color w:val="000000"/>
                <w:sz w:val="20"/>
              </w:rPr>
            </w:pPr>
            <w:r w:rsidRPr="00733404">
              <w:rPr>
                <w:rFonts w:ascii="Arial" w:hAnsi="Arial" w:cs="Arial"/>
                <w:b/>
                <w:bCs/>
                <w:color w:val="000000"/>
                <w:sz w:val="20"/>
              </w:rPr>
              <w:t>16.47%</w:t>
            </w:r>
          </w:p>
        </w:tc>
        <w:tc>
          <w:tcPr>
            <w:tcW w:w="1099" w:type="dxa"/>
            <w:tcBorders>
              <w:top w:val="single" w:sz="4" w:space="0" w:color="000000"/>
              <w:left w:val="nil"/>
              <w:bottom w:val="nil"/>
              <w:right w:val="nil"/>
            </w:tcBorders>
            <w:shd w:val="clear" w:color="auto" w:fill="auto"/>
          </w:tcPr>
          <w:p w14:paraId="4075AA1D" w14:textId="75DB05BF" w:rsidR="00BD5C2C" w:rsidRPr="00BD5C2C" w:rsidRDefault="00BD5C2C" w:rsidP="00BD5C2C">
            <w:pPr>
              <w:jc w:val="center"/>
              <w:rPr>
                <w:rFonts w:ascii="Arial" w:hAnsi="Arial" w:cs="Arial"/>
                <w:bCs/>
                <w:color w:val="000000"/>
                <w:sz w:val="20"/>
              </w:rPr>
            </w:pPr>
            <w:r w:rsidRPr="00733404">
              <w:rPr>
                <w:rFonts w:ascii="Arial" w:hAnsi="Arial" w:cs="Arial"/>
                <w:b/>
                <w:bCs/>
                <w:color w:val="000000"/>
                <w:sz w:val="20"/>
              </w:rPr>
              <w:t>16</w:t>
            </w:r>
          </w:p>
        </w:tc>
      </w:tr>
      <w:tr w:rsidR="00BD5C2C" w:rsidRPr="00BD5C2C" w14:paraId="45032C79" w14:textId="77777777" w:rsidTr="00733404">
        <w:trPr>
          <w:trHeight w:val="288"/>
        </w:trPr>
        <w:tc>
          <w:tcPr>
            <w:tcW w:w="6416" w:type="dxa"/>
            <w:tcBorders>
              <w:top w:val="nil"/>
              <w:left w:val="nil"/>
              <w:bottom w:val="nil"/>
              <w:right w:val="nil"/>
            </w:tcBorders>
            <w:shd w:val="clear" w:color="auto" w:fill="auto"/>
          </w:tcPr>
          <w:p w14:paraId="4F5A30A8" w14:textId="6E786E57" w:rsidR="00BD5C2C" w:rsidRPr="00BD5C2C" w:rsidRDefault="00BD5C2C" w:rsidP="00733404">
            <w:pPr>
              <w:tabs>
                <w:tab w:val="left" w:pos="165"/>
              </w:tabs>
              <w:ind w:firstLine="345"/>
              <w:rPr>
                <w:rFonts w:ascii="Arial" w:hAnsi="Arial" w:cs="Arial"/>
                <w:bCs/>
                <w:color w:val="000000"/>
                <w:sz w:val="20"/>
              </w:rPr>
            </w:pPr>
            <w:r w:rsidRPr="00733404">
              <w:rPr>
                <w:rFonts w:ascii="Arial" w:hAnsi="Arial" w:cs="Arial"/>
                <w:sz w:val="20"/>
              </w:rPr>
              <w:t>Domestic Equity Benchmark</w:t>
            </w:r>
          </w:p>
        </w:tc>
        <w:tc>
          <w:tcPr>
            <w:tcW w:w="1950" w:type="dxa"/>
            <w:tcBorders>
              <w:top w:val="nil"/>
              <w:left w:val="nil"/>
              <w:bottom w:val="nil"/>
              <w:right w:val="nil"/>
            </w:tcBorders>
            <w:shd w:val="clear" w:color="auto" w:fill="auto"/>
          </w:tcPr>
          <w:p w14:paraId="520987A7" w14:textId="1D2DE67C" w:rsidR="00BD5C2C" w:rsidRPr="00BD5C2C" w:rsidRDefault="00BD5C2C" w:rsidP="00BD5C2C">
            <w:pPr>
              <w:jc w:val="center"/>
              <w:rPr>
                <w:rFonts w:ascii="Arial" w:hAnsi="Arial" w:cs="Arial"/>
                <w:bCs/>
                <w:color w:val="000000"/>
                <w:sz w:val="20"/>
              </w:rPr>
            </w:pPr>
            <w:r w:rsidRPr="00733404">
              <w:rPr>
                <w:rFonts w:ascii="Arial" w:hAnsi="Arial" w:cs="Arial"/>
                <w:color w:val="000000"/>
                <w:sz w:val="20"/>
              </w:rPr>
              <w:t>15.91%</w:t>
            </w:r>
          </w:p>
        </w:tc>
        <w:tc>
          <w:tcPr>
            <w:tcW w:w="1099" w:type="dxa"/>
            <w:tcBorders>
              <w:top w:val="nil"/>
              <w:left w:val="nil"/>
              <w:bottom w:val="nil"/>
              <w:right w:val="nil"/>
            </w:tcBorders>
            <w:shd w:val="clear" w:color="auto" w:fill="auto"/>
          </w:tcPr>
          <w:p w14:paraId="52A5FDB7" w14:textId="04EFE5A9" w:rsidR="00BD5C2C" w:rsidRPr="00BD5C2C" w:rsidRDefault="00BD5C2C" w:rsidP="00BD5C2C">
            <w:pPr>
              <w:jc w:val="center"/>
              <w:rPr>
                <w:rFonts w:ascii="Arial" w:hAnsi="Arial" w:cs="Arial"/>
                <w:bCs/>
                <w:color w:val="000000"/>
                <w:sz w:val="20"/>
              </w:rPr>
            </w:pPr>
            <w:r w:rsidRPr="00733404">
              <w:rPr>
                <w:rFonts w:ascii="Arial" w:hAnsi="Arial" w:cs="Arial"/>
                <w:color w:val="000000"/>
                <w:sz w:val="20"/>
              </w:rPr>
              <w:t>46</w:t>
            </w:r>
          </w:p>
        </w:tc>
      </w:tr>
      <w:tr w:rsidR="00BD5C2C" w:rsidRPr="00BD5C2C" w14:paraId="0757F6A0" w14:textId="77777777" w:rsidTr="00733404">
        <w:trPr>
          <w:trHeight w:val="288"/>
        </w:trPr>
        <w:tc>
          <w:tcPr>
            <w:tcW w:w="6416" w:type="dxa"/>
            <w:tcBorders>
              <w:top w:val="nil"/>
              <w:left w:val="nil"/>
              <w:bottom w:val="nil"/>
              <w:right w:val="nil"/>
            </w:tcBorders>
            <w:shd w:val="clear" w:color="auto" w:fill="auto"/>
          </w:tcPr>
          <w:p w14:paraId="25CDF361" w14:textId="024A4A3B" w:rsidR="00BD5C2C" w:rsidRPr="00BD5C2C" w:rsidRDefault="00BD5C2C" w:rsidP="00733404">
            <w:pPr>
              <w:tabs>
                <w:tab w:val="left" w:pos="165"/>
              </w:tabs>
              <w:ind w:firstLine="345"/>
              <w:rPr>
                <w:rFonts w:ascii="Arial" w:hAnsi="Arial" w:cs="Arial"/>
                <w:b/>
                <w:bCs/>
                <w:color w:val="000000"/>
                <w:sz w:val="20"/>
              </w:rPr>
            </w:pPr>
            <w:r w:rsidRPr="00733404">
              <w:rPr>
                <w:rFonts w:ascii="Arial" w:hAnsi="Arial" w:cs="Arial"/>
                <w:sz w:val="20"/>
              </w:rPr>
              <w:t xml:space="preserve">Pub </w:t>
            </w:r>
            <w:proofErr w:type="spellStart"/>
            <w:r w:rsidRPr="00733404">
              <w:rPr>
                <w:rFonts w:ascii="Arial" w:hAnsi="Arial" w:cs="Arial"/>
                <w:sz w:val="20"/>
              </w:rPr>
              <w:t>Pln</w:t>
            </w:r>
            <w:proofErr w:type="spellEnd"/>
            <w:r w:rsidRPr="00733404">
              <w:rPr>
                <w:rFonts w:ascii="Arial" w:hAnsi="Arial" w:cs="Arial"/>
                <w:sz w:val="20"/>
              </w:rPr>
              <w:t>- Dom Equity</w:t>
            </w:r>
          </w:p>
        </w:tc>
        <w:tc>
          <w:tcPr>
            <w:tcW w:w="1950" w:type="dxa"/>
            <w:tcBorders>
              <w:top w:val="nil"/>
              <w:left w:val="nil"/>
              <w:bottom w:val="nil"/>
              <w:right w:val="nil"/>
            </w:tcBorders>
            <w:shd w:val="clear" w:color="auto" w:fill="auto"/>
          </w:tcPr>
          <w:p w14:paraId="68FE8669" w14:textId="770E77FF" w:rsidR="00BD5C2C" w:rsidRPr="00BD5C2C" w:rsidRDefault="00BD5C2C" w:rsidP="00BD5C2C">
            <w:pPr>
              <w:jc w:val="center"/>
              <w:rPr>
                <w:rFonts w:ascii="Arial" w:hAnsi="Arial" w:cs="Arial"/>
                <w:b/>
                <w:bCs/>
                <w:color w:val="000000"/>
                <w:sz w:val="20"/>
              </w:rPr>
            </w:pPr>
            <w:r w:rsidRPr="00733404">
              <w:rPr>
                <w:rFonts w:ascii="Arial" w:hAnsi="Arial" w:cs="Arial"/>
                <w:color w:val="000000"/>
                <w:sz w:val="20"/>
              </w:rPr>
              <w:t>15.71%</w:t>
            </w:r>
          </w:p>
        </w:tc>
        <w:tc>
          <w:tcPr>
            <w:tcW w:w="1099" w:type="dxa"/>
            <w:tcBorders>
              <w:top w:val="nil"/>
              <w:left w:val="nil"/>
              <w:bottom w:val="nil"/>
              <w:right w:val="nil"/>
            </w:tcBorders>
            <w:shd w:val="clear" w:color="auto" w:fill="auto"/>
            <w:vAlign w:val="center"/>
          </w:tcPr>
          <w:p w14:paraId="07775080" w14:textId="5434AA8C" w:rsidR="00BD5C2C" w:rsidRPr="00BD5C2C" w:rsidRDefault="00BD5C2C" w:rsidP="00BD5C2C">
            <w:pPr>
              <w:jc w:val="center"/>
              <w:rPr>
                <w:rFonts w:ascii="Arial" w:hAnsi="Arial" w:cs="Arial"/>
                <w:b/>
                <w:bCs/>
                <w:color w:val="000000"/>
                <w:sz w:val="20"/>
              </w:rPr>
            </w:pPr>
          </w:p>
        </w:tc>
      </w:tr>
      <w:tr w:rsidR="00BD5C2C" w:rsidRPr="00BD5C2C" w14:paraId="23E0A784" w14:textId="77777777" w:rsidTr="003D12E4">
        <w:trPr>
          <w:trHeight w:val="288"/>
        </w:trPr>
        <w:tc>
          <w:tcPr>
            <w:tcW w:w="6416" w:type="dxa"/>
            <w:tcBorders>
              <w:top w:val="nil"/>
              <w:left w:val="nil"/>
              <w:bottom w:val="nil"/>
              <w:right w:val="nil"/>
            </w:tcBorders>
            <w:shd w:val="clear" w:color="auto" w:fill="auto"/>
            <w:vAlign w:val="center"/>
          </w:tcPr>
          <w:p w14:paraId="398E75B0" w14:textId="77777777" w:rsidR="00BD5C2C" w:rsidRPr="00733404" w:rsidRDefault="00BD5C2C" w:rsidP="00733404">
            <w:pPr>
              <w:tabs>
                <w:tab w:val="left" w:pos="165"/>
              </w:tabs>
              <w:ind w:firstLine="435"/>
              <w:rPr>
                <w:rFonts w:ascii="Arial" w:hAnsi="Arial" w:cs="Arial"/>
                <w:b/>
                <w:bCs/>
                <w:sz w:val="20"/>
              </w:rPr>
            </w:pPr>
          </w:p>
        </w:tc>
        <w:tc>
          <w:tcPr>
            <w:tcW w:w="1950" w:type="dxa"/>
            <w:tcBorders>
              <w:top w:val="nil"/>
              <w:left w:val="nil"/>
              <w:bottom w:val="nil"/>
              <w:right w:val="nil"/>
            </w:tcBorders>
            <w:shd w:val="clear" w:color="auto" w:fill="auto"/>
            <w:vAlign w:val="center"/>
          </w:tcPr>
          <w:p w14:paraId="2945A127" w14:textId="77777777" w:rsidR="00BD5C2C" w:rsidRPr="00733404" w:rsidRDefault="00BD5C2C" w:rsidP="00BD5C2C">
            <w:pPr>
              <w:jc w:val="center"/>
              <w:rPr>
                <w:rFonts w:ascii="Arial" w:hAnsi="Arial" w:cs="Arial"/>
                <w:b/>
                <w:bCs/>
                <w:color w:val="000000"/>
                <w:sz w:val="20"/>
              </w:rPr>
            </w:pPr>
          </w:p>
        </w:tc>
        <w:tc>
          <w:tcPr>
            <w:tcW w:w="1099" w:type="dxa"/>
            <w:tcBorders>
              <w:top w:val="nil"/>
              <w:left w:val="nil"/>
              <w:bottom w:val="nil"/>
              <w:right w:val="nil"/>
            </w:tcBorders>
            <w:shd w:val="clear" w:color="auto" w:fill="auto"/>
            <w:vAlign w:val="center"/>
          </w:tcPr>
          <w:p w14:paraId="6F442231" w14:textId="77777777" w:rsidR="00BD5C2C" w:rsidRPr="00733404" w:rsidRDefault="00BD5C2C" w:rsidP="00BD5C2C">
            <w:pPr>
              <w:jc w:val="center"/>
              <w:rPr>
                <w:rFonts w:ascii="Arial" w:hAnsi="Arial" w:cs="Arial"/>
                <w:b/>
                <w:bCs/>
                <w:color w:val="000000"/>
                <w:sz w:val="20"/>
              </w:rPr>
            </w:pPr>
          </w:p>
        </w:tc>
      </w:tr>
      <w:tr w:rsidR="00BD5C2C" w:rsidRPr="00BD5C2C" w14:paraId="03DF6CD5" w14:textId="77777777" w:rsidTr="00733404">
        <w:trPr>
          <w:trHeight w:val="288"/>
        </w:trPr>
        <w:tc>
          <w:tcPr>
            <w:tcW w:w="6416" w:type="dxa"/>
            <w:tcBorders>
              <w:top w:val="nil"/>
              <w:left w:val="nil"/>
              <w:bottom w:val="nil"/>
              <w:right w:val="nil"/>
            </w:tcBorders>
            <w:shd w:val="clear" w:color="auto" w:fill="auto"/>
            <w:vAlign w:val="center"/>
          </w:tcPr>
          <w:p w14:paraId="53168109" w14:textId="74CEA302" w:rsidR="00BD5C2C" w:rsidRPr="00BD5C2C" w:rsidRDefault="00BD5C2C" w:rsidP="00733404">
            <w:pPr>
              <w:tabs>
                <w:tab w:val="left" w:pos="165"/>
              </w:tabs>
              <w:ind w:left="-105" w:firstLine="105"/>
              <w:rPr>
                <w:rFonts w:ascii="Arial" w:hAnsi="Arial" w:cs="Arial"/>
                <w:w w:val="105"/>
                <w:sz w:val="20"/>
              </w:rPr>
            </w:pPr>
            <w:r w:rsidRPr="00733404">
              <w:rPr>
                <w:rFonts w:ascii="Arial" w:hAnsi="Arial" w:cs="Arial"/>
                <w:b/>
                <w:bCs/>
                <w:sz w:val="20"/>
              </w:rPr>
              <w:t>Large Cap Equity</w:t>
            </w:r>
          </w:p>
        </w:tc>
        <w:tc>
          <w:tcPr>
            <w:tcW w:w="1950" w:type="dxa"/>
            <w:tcBorders>
              <w:top w:val="nil"/>
              <w:left w:val="nil"/>
              <w:bottom w:val="nil"/>
              <w:right w:val="nil"/>
            </w:tcBorders>
            <w:shd w:val="clear" w:color="auto" w:fill="auto"/>
            <w:vAlign w:val="center"/>
          </w:tcPr>
          <w:p w14:paraId="21610EC3" w14:textId="365081E8" w:rsidR="00BD5C2C" w:rsidRPr="00BD5C2C" w:rsidRDefault="00BD5C2C" w:rsidP="00BD5C2C">
            <w:pPr>
              <w:jc w:val="center"/>
              <w:rPr>
                <w:rFonts w:ascii="Arial" w:hAnsi="Arial" w:cs="Arial"/>
                <w:w w:val="105"/>
                <w:sz w:val="20"/>
              </w:rPr>
            </w:pPr>
            <w:r w:rsidRPr="00733404">
              <w:rPr>
                <w:rFonts w:ascii="Arial" w:hAnsi="Arial" w:cs="Arial"/>
                <w:b/>
                <w:bCs/>
                <w:color w:val="000000"/>
                <w:sz w:val="20"/>
              </w:rPr>
              <w:t>16.11%</w:t>
            </w:r>
          </w:p>
        </w:tc>
        <w:tc>
          <w:tcPr>
            <w:tcW w:w="1099" w:type="dxa"/>
            <w:tcBorders>
              <w:top w:val="nil"/>
              <w:left w:val="nil"/>
              <w:bottom w:val="nil"/>
              <w:right w:val="nil"/>
            </w:tcBorders>
            <w:shd w:val="clear" w:color="auto" w:fill="auto"/>
            <w:vAlign w:val="center"/>
          </w:tcPr>
          <w:p w14:paraId="2380162C" w14:textId="499476A0" w:rsidR="00BD5C2C" w:rsidRPr="00BD5C2C" w:rsidRDefault="00BD5C2C" w:rsidP="00BD5C2C">
            <w:pPr>
              <w:jc w:val="center"/>
              <w:rPr>
                <w:rFonts w:ascii="Arial" w:hAnsi="Arial" w:cs="Arial"/>
                <w:b/>
                <w:bCs/>
                <w:color w:val="000000"/>
                <w:sz w:val="20"/>
              </w:rPr>
            </w:pPr>
            <w:r w:rsidRPr="00733404">
              <w:rPr>
                <w:rFonts w:ascii="Arial" w:hAnsi="Arial" w:cs="Arial"/>
                <w:b/>
                <w:bCs/>
                <w:color w:val="000000"/>
                <w:sz w:val="20"/>
              </w:rPr>
              <w:t>56</w:t>
            </w:r>
          </w:p>
        </w:tc>
      </w:tr>
      <w:tr w:rsidR="00BD5C2C" w:rsidRPr="00BD5C2C" w14:paraId="48B09AAD" w14:textId="77777777" w:rsidTr="00733404">
        <w:trPr>
          <w:trHeight w:val="288"/>
        </w:trPr>
        <w:tc>
          <w:tcPr>
            <w:tcW w:w="6416" w:type="dxa"/>
            <w:tcBorders>
              <w:top w:val="nil"/>
              <w:left w:val="nil"/>
              <w:bottom w:val="nil"/>
              <w:right w:val="nil"/>
            </w:tcBorders>
            <w:shd w:val="clear" w:color="auto" w:fill="auto"/>
          </w:tcPr>
          <w:p w14:paraId="549D0D79" w14:textId="011E652F" w:rsidR="00BD5C2C" w:rsidRPr="00BD5C2C" w:rsidRDefault="00BD5C2C" w:rsidP="00733404">
            <w:pPr>
              <w:tabs>
                <w:tab w:val="left" w:pos="165"/>
              </w:tabs>
              <w:ind w:left="720" w:hanging="375"/>
              <w:rPr>
                <w:rFonts w:ascii="Arial" w:hAnsi="Arial" w:cs="Arial"/>
                <w:color w:val="000000"/>
                <w:sz w:val="20"/>
              </w:rPr>
            </w:pPr>
            <w:r w:rsidRPr="00733404">
              <w:rPr>
                <w:rFonts w:ascii="Arial" w:hAnsi="Arial" w:cs="Arial"/>
                <w:sz w:val="20"/>
              </w:rPr>
              <w:t>Callan Large Cap</w:t>
            </w:r>
          </w:p>
        </w:tc>
        <w:tc>
          <w:tcPr>
            <w:tcW w:w="1950" w:type="dxa"/>
            <w:tcBorders>
              <w:top w:val="nil"/>
              <w:left w:val="nil"/>
              <w:bottom w:val="nil"/>
              <w:right w:val="nil"/>
            </w:tcBorders>
            <w:shd w:val="clear" w:color="auto" w:fill="auto"/>
          </w:tcPr>
          <w:p w14:paraId="281AC163" w14:textId="061C63B7" w:rsidR="00BD5C2C" w:rsidRPr="00BD5C2C" w:rsidRDefault="00BD5C2C" w:rsidP="00BD5C2C">
            <w:pPr>
              <w:jc w:val="center"/>
              <w:rPr>
                <w:rFonts w:ascii="Arial" w:hAnsi="Arial" w:cs="Arial"/>
                <w:color w:val="000000"/>
                <w:sz w:val="20"/>
              </w:rPr>
            </w:pPr>
            <w:r w:rsidRPr="00733404">
              <w:rPr>
                <w:rFonts w:ascii="Arial" w:hAnsi="Arial" w:cs="Arial"/>
                <w:color w:val="000000"/>
                <w:sz w:val="20"/>
              </w:rPr>
              <w:t>16.72%</w:t>
            </w:r>
          </w:p>
        </w:tc>
        <w:tc>
          <w:tcPr>
            <w:tcW w:w="1099" w:type="dxa"/>
            <w:tcBorders>
              <w:top w:val="nil"/>
              <w:left w:val="nil"/>
              <w:bottom w:val="nil"/>
              <w:right w:val="nil"/>
            </w:tcBorders>
            <w:shd w:val="clear" w:color="auto" w:fill="auto"/>
            <w:vAlign w:val="bottom"/>
          </w:tcPr>
          <w:p w14:paraId="2579B20E" w14:textId="0A2A1A55" w:rsidR="00BD5C2C" w:rsidRPr="00BD5C2C" w:rsidRDefault="00BD5C2C" w:rsidP="00BD5C2C">
            <w:pPr>
              <w:jc w:val="center"/>
              <w:rPr>
                <w:rFonts w:ascii="Arial" w:hAnsi="Arial" w:cs="Arial"/>
                <w:color w:val="000000"/>
                <w:sz w:val="20"/>
              </w:rPr>
            </w:pPr>
          </w:p>
        </w:tc>
      </w:tr>
      <w:tr w:rsidR="00BD5C2C" w:rsidRPr="00BD5C2C" w14:paraId="241DC7EE" w14:textId="77777777" w:rsidTr="003D12E4">
        <w:trPr>
          <w:trHeight w:val="288"/>
        </w:trPr>
        <w:tc>
          <w:tcPr>
            <w:tcW w:w="6416" w:type="dxa"/>
            <w:tcBorders>
              <w:top w:val="nil"/>
              <w:left w:val="nil"/>
              <w:bottom w:val="nil"/>
              <w:right w:val="nil"/>
            </w:tcBorders>
            <w:shd w:val="clear" w:color="auto" w:fill="auto"/>
          </w:tcPr>
          <w:p w14:paraId="0E6050CD" w14:textId="77777777" w:rsidR="00BD5C2C" w:rsidRPr="00733404" w:rsidRDefault="00BD5C2C" w:rsidP="00733404">
            <w:pPr>
              <w:tabs>
                <w:tab w:val="left" w:pos="165"/>
              </w:tabs>
              <w:ind w:firstLineChars="200" w:firstLine="402"/>
              <w:rPr>
                <w:rFonts w:ascii="Arial" w:hAnsi="Arial" w:cs="Arial"/>
                <w:b/>
                <w:bCs/>
                <w:sz w:val="20"/>
              </w:rPr>
            </w:pPr>
          </w:p>
        </w:tc>
        <w:tc>
          <w:tcPr>
            <w:tcW w:w="1950" w:type="dxa"/>
            <w:tcBorders>
              <w:top w:val="nil"/>
              <w:left w:val="nil"/>
              <w:bottom w:val="nil"/>
              <w:right w:val="nil"/>
            </w:tcBorders>
            <w:shd w:val="clear" w:color="auto" w:fill="auto"/>
          </w:tcPr>
          <w:p w14:paraId="20089055" w14:textId="77777777" w:rsidR="00BD5C2C" w:rsidRPr="00733404" w:rsidRDefault="00BD5C2C" w:rsidP="00BD5C2C">
            <w:pPr>
              <w:jc w:val="center"/>
              <w:rPr>
                <w:rFonts w:ascii="Arial" w:hAnsi="Arial" w:cs="Arial"/>
                <w:b/>
                <w:bCs/>
                <w:color w:val="000000"/>
                <w:sz w:val="20"/>
              </w:rPr>
            </w:pPr>
          </w:p>
        </w:tc>
        <w:tc>
          <w:tcPr>
            <w:tcW w:w="1099" w:type="dxa"/>
            <w:tcBorders>
              <w:top w:val="nil"/>
              <w:left w:val="nil"/>
              <w:bottom w:val="nil"/>
              <w:right w:val="nil"/>
            </w:tcBorders>
            <w:shd w:val="clear" w:color="auto" w:fill="auto"/>
            <w:vAlign w:val="center"/>
          </w:tcPr>
          <w:p w14:paraId="0395C7C7" w14:textId="77777777" w:rsidR="00BD5C2C" w:rsidRPr="00733404" w:rsidRDefault="00BD5C2C" w:rsidP="00BD5C2C">
            <w:pPr>
              <w:jc w:val="center"/>
              <w:rPr>
                <w:rFonts w:ascii="Arial" w:hAnsi="Arial" w:cs="Arial"/>
                <w:b/>
                <w:bCs/>
                <w:color w:val="000000"/>
                <w:sz w:val="20"/>
              </w:rPr>
            </w:pPr>
          </w:p>
        </w:tc>
      </w:tr>
      <w:tr w:rsidR="00BD5C2C" w:rsidRPr="00BD5C2C" w14:paraId="0CEE8A1F" w14:textId="77777777" w:rsidTr="00733404">
        <w:trPr>
          <w:trHeight w:val="288"/>
        </w:trPr>
        <w:tc>
          <w:tcPr>
            <w:tcW w:w="6416" w:type="dxa"/>
            <w:tcBorders>
              <w:top w:val="nil"/>
              <w:left w:val="nil"/>
              <w:bottom w:val="nil"/>
              <w:right w:val="nil"/>
            </w:tcBorders>
            <w:shd w:val="clear" w:color="auto" w:fill="auto"/>
          </w:tcPr>
          <w:p w14:paraId="3A2AC5A6" w14:textId="0C40EC5B" w:rsidR="00BD5C2C" w:rsidRPr="00BD5C2C" w:rsidRDefault="00BD5C2C" w:rsidP="00733404">
            <w:pPr>
              <w:tabs>
                <w:tab w:val="left" w:pos="165"/>
              </w:tabs>
              <w:rPr>
                <w:rFonts w:ascii="Arial" w:hAnsi="Arial" w:cs="Arial"/>
                <w:color w:val="000000"/>
                <w:sz w:val="20"/>
              </w:rPr>
            </w:pPr>
            <w:r w:rsidRPr="00733404">
              <w:rPr>
                <w:rFonts w:ascii="Arial" w:hAnsi="Arial" w:cs="Arial"/>
                <w:b/>
                <w:bCs/>
                <w:sz w:val="20"/>
              </w:rPr>
              <w:t>Small Cap Equity</w:t>
            </w:r>
          </w:p>
        </w:tc>
        <w:tc>
          <w:tcPr>
            <w:tcW w:w="1950" w:type="dxa"/>
            <w:tcBorders>
              <w:top w:val="nil"/>
              <w:left w:val="nil"/>
              <w:bottom w:val="nil"/>
              <w:right w:val="nil"/>
            </w:tcBorders>
            <w:shd w:val="clear" w:color="auto" w:fill="auto"/>
          </w:tcPr>
          <w:p w14:paraId="15ED533D" w14:textId="31B81F7B" w:rsidR="00BD5C2C" w:rsidRPr="00BD5C2C" w:rsidRDefault="00BD5C2C" w:rsidP="00BD5C2C">
            <w:pPr>
              <w:jc w:val="center"/>
              <w:rPr>
                <w:rFonts w:ascii="Arial" w:hAnsi="Arial" w:cs="Arial"/>
                <w:color w:val="000000"/>
                <w:sz w:val="20"/>
              </w:rPr>
            </w:pPr>
            <w:r w:rsidRPr="00733404">
              <w:rPr>
                <w:rFonts w:ascii="Arial" w:hAnsi="Arial" w:cs="Arial"/>
                <w:b/>
                <w:bCs/>
                <w:color w:val="000000"/>
                <w:sz w:val="20"/>
              </w:rPr>
              <w:t>17.09%</w:t>
            </w:r>
          </w:p>
        </w:tc>
        <w:tc>
          <w:tcPr>
            <w:tcW w:w="1099" w:type="dxa"/>
            <w:tcBorders>
              <w:top w:val="nil"/>
              <w:left w:val="nil"/>
              <w:bottom w:val="nil"/>
              <w:right w:val="nil"/>
            </w:tcBorders>
            <w:shd w:val="clear" w:color="auto" w:fill="auto"/>
            <w:vAlign w:val="center"/>
          </w:tcPr>
          <w:p w14:paraId="4C9F0E25" w14:textId="572D9E17" w:rsidR="00BD5C2C" w:rsidRPr="00BD5C2C" w:rsidRDefault="00BD5C2C" w:rsidP="00BD5C2C">
            <w:pPr>
              <w:jc w:val="center"/>
              <w:rPr>
                <w:rFonts w:ascii="Arial" w:hAnsi="Arial" w:cs="Arial"/>
                <w:color w:val="000000"/>
                <w:sz w:val="20"/>
              </w:rPr>
            </w:pPr>
            <w:r w:rsidRPr="00733404">
              <w:rPr>
                <w:rFonts w:ascii="Arial" w:hAnsi="Arial" w:cs="Arial"/>
                <w:b/>
                <w:bCs/>
                <w:color w:val="000000"/>
                <w:sz w:val="20"/>
              </w:rPr>
              <w:t>31</w:t>
            </w:r>
          </w:p>
        </w:tc>
      </w:tr>
      <w:tr w:rsidR="00BD5C2C" w:rsidRPr="00BD5C2C" w14:paraId="10077F8B" w14:textId="77777777" w:rsidTr="00733404">
        <w:trPr>
          <w:trHeight w:val="288"/>
        </w:trPr>
        <w:tc>
          <w:tcPr>
            <w:tcW w:w="6416" w:type="dxa"/>
            <w:tcBorders>
              <w:top w:val="nil"/>
              <w:left w:val="nil"/>
              <w:bottom w:val="nil"/>
              <w:right w:val="nil"/>
            </w:tcBorders>
            <w:shd w:val="clear" w:color="auto" w:fill="auto"/>
          </w:tcPr>
          <w:p w14:paraId="36357139" w14:textId="7F9C7519" w:rsidR="00BD5C2C" w:rsidRPr="00BD5C2C" w:rsidRDefault="00BD5C2C" w:rsidP="00733404">
            <w:pPr>
              <w:tabs>
                <w:tab w:val="left" w:pos="165"/>
              </w:tabs>
              <w:ind w:firstLineChars="200" w:firstLine="400"/>
              <w:rPr>
                <w:rFonts w:ascii="Arial" w:hAnsi="Arial" w:cs="Arial"/>
                <w:color w:val="000000"/>
                <w:sz w:val="20"/>
              </w:rPr>
            </w:pPr>
            <w:r w:rsidRPr="00733404">
              <w:rPr>
                <w:rFonts w:ascii="Arial" w:hAnsi="Arial" w:cs="Arial"/>
                <w:sz w:val="20"/>
              </w:rPr>
              <w:t xml:space="preserve">Callan </w:t>
            </w:r>
            <w:proofErr w:type="spellStart"/>
            <w:r w:rsidRPr="00733404">
              <w:rPr>
                <w:rFonts w:ascii="Arial" w:hAnsi="Arial" w:cs="Arial"/>
                <w:sz w:val="20"/>
              </w:rPr>
              <w:t>Stk</w:t>
            </w:r>
            <w:proofErr w:type="spellEnd"/>
            <w:r w:rsidRPr="00733404">
              <w:rPr>
                <w:rFonts w:ascii="Arial" w:hAnsi="Arial" w:cs="Arial"/>
                <w:sz w:val="20"/>
              </w:rPr>
              <w:t xml:space="preserve"> Based </w:t>
            </w:r>
            <w:proofErr w:type="spellStart"/>
            <w:r w:rsidRPr="00733404">
              <w:rPr>
                <w:rFonts w:ascii="Arial" w:hAnsi="Arial" w:cs="Arial"/>
                <w:sz w:val="20"/>
              </w:rPr>
              <w:t>Enh</w:t>
            </w:r>
            <w:proofErr w:type="spellEnd"/>
            <w:r w:rsidRPr="00733404">
              <w:rPr>
                <w:rFonts w:ascii="Arial" w:hAnsi="Arial" w:cs="Arial"/>
                <w:sz w:val="20"/>
              </w:rPr>
              <w:t xml:space="preserve"> </w:t>
            </w:r>
            <w:proofErr w:type="spellStart"/>
            <w:r w:rsidRPr="00733404">
              <w:rPr>
                <w:rFonts w:ascii="Arial" w:hAnsi="Arial" w:cs="Arial"/>
                <w:sz w:val="20"/>
              </w:rPr>
              <w:t>Idx</w:t>
            </w:r>
            <w:proofErr w:type="spellEnd"/>
          </w:p>
        </w:tc>
        <w:tc>
          <w:tcPr>
            <w:tcW w:w="1950" w:type="dxa"/>
            <w:tcBorders>
              <w:top w:val="nil"/>
              <w:left w:val="nil"/>
              <w:bottom w:val="nil"/>
              <w:right w:val="nil"/>
            </w:tcBorders>
            <w:shd w:val="clear" w:color="auto" w:fill="auto"/>
          </w:tcPr>
          <w:p w14:paraId="3B4566C2" w14:textId="30453413" w:rsidR="00BD5C2C" w:rsidRPr="00BD5C2C" w:rsidRDefault="00BD5C2C" w:rsidP="00BD5C2C">
            <w:pPr>
              <w:jc w:val="center"/>
              <w:rPr>
                <w:rFonts w:ascii="Arial" w:hAnsi="Arial" w:cs="Arial"/>
                <w:color w:val="000000"/>
                <w:sz w:val="20"/>
              </w:rPr>
            </w:pPr>
            <w:r w:rsidRPr="00733404">
              <w:rPr>
                <w:rFonts w:ascii="Arial" w:hAnsi="Arial" w:cs="Arial"/>
                <w:color w:val="000000"/>
                <w:sz w:val="20"/>
              </w:rPr>
              <w:t>16.87%</w:t>
            </w:r>
          </w:p>
        </w:tc>
        <w:tc>
          <w:tcPr>
            <w:tcW w:w="1099" w:type="dxa"/>
            <w:tcBorders>
              <w:top w:val="nil"/>
              <w:left w:val="nil"/>
              <w:bottom w:val="nil"/>
              <w:right w:val="nil"/>
            </w:tcBorders>
            <w:shd w:val="clear" w:color="auto" w:fill="auto"/>
            <w:vAlign w:val="bottom"/>
          </w:tcPr>
          <w:p w14:paraId="7083EC27" w14:textId="69EB7745" w:rsidR="00BD5C2C" w:rsidRPr="00BD5C2C" w:rsidRDefault="00BD5C2C" w:rsidP="00BD5C2C">
            <w:pPr>
              <w:jc w:val="center"/>
              <w:rPr>
                <w:rFonts w:ascii="Arial" w:hAnsi="Arial" w:cs="Arial"/>
                <w:color w:val="000000"/>
                <w:sz w:val="20"/>
              </w:rPr>
            </w:pPr>
          </w:p>
        </w:tc>
      </w:tr>
      <w:tr w:rsidR="00BD5C2C" w:rsidRPr="00BD5C2C" w14:paraId="373918E1" w14:textId="77777777" w:rsidTr="00733404">
        <w:trPr>
          <w:trHeight w:val="288"/>
        </w:trPr>
        <w:tc>
          <w:tcPr>
            <w:tcW w:w="6416" w:type="dxa"/>
            <w:tcBorders>
              <w:top w:val="nil"/>
              <w:left w:val="nil"/>
              <w:bottom w:val="nil"/>
              <w:right w:val="nil"/>
            </w:tcBorders>
            <w:shd w:val="clear" w:color="auto" w:fill="auto"/>
          </w:tcPr>
          <w:p w14:paraId="0AB4B637" w14:textId="094B7F04" w:rsidR="00BD5C2C" w:rsidRPr="00BD5C2C" w:rsidRDefault="00BD5C2C" w:rsidP="00733404">
            <w:pPr>
              <w:tabs>
                <w:tab w:val="left" w:pos="165"/>
              </w:tabs>
              <w:ind w:firstLineChars="200" w:firstLine="400"/>
              <w:rPr>
                <w:rFonts w:ascii="Arial" w:hAnsi="Arial" w:cs="Arial"/>
                <w:color w:val="000000"/>
                <w:sz w:val="20"/>
              </w:rPr>
            </w:pPr>
            <w:r w:rsidRPr="00733404">
              <w:rPr>
                <w:rFonts w:ascii="Arial" w:hAnsi="Arial" w:cs="Arial"/>
                <w:sz w:val="20"/>
              </w:rPr>
              <w:t>Brown Capital Management</w:t>
            </w:r>
          </w:p>
        </w:tc>
        <w:tc>
          <w:tcPr>
            <w:tcW w:w="1950" w:type="dxa"/>
            <w:tcBorders>
              <w:top w:val="nil"/>
              <w:left w:val="nil"/>
              <w:bottom w:val="nil"/>
              <w:right w:val="nil"/>
            </w:tcBorders>
            <w:shd w:val="clear" w:color="auto" w:fill="auto"/>
          </w:tcPr>
          <w:p w14:paraId="51BF10BB" w14:textId="305473FA" w:rsidR="00BD5C2C" w:rsidRPr="00BD5C2C" w:rsidRDefault="00BD5C2C" w:rsidP="00BD5C2C">
            <w:pPr>
              <w:jc w:val="center"/>
              <w:rPr>
                <w:rFonts w:ascii="Arial" w:hAnsi="Arial" w:cs="Arial"/>
                <w:color w:val="000000"/>
                <w:sz w:val="20"/>
              </w:rPr>
            </w:pPr>
            <w:r w:rsidRPr="00733404">
              <w:rPr>
                <w:rFonts w:ascii="Arial" w:hAnsi="Arial" w:cs="Arial"/>
                <w:color w:val="000000"/>
                <w:sz w:val="20"/>
              </w:rPr>
              <w:t>18.99%</w:t>
            </w:r>
          </w:p>
        </w:tc>
        <w:tc>
          <w:tcPr>
            <w:tcW w:w="1099" w:type="dxa"/>
            <w:tcBorders>
              <w:top w:val="nil"/>
              <w:left w:val="nil"/>
              <w:bottom w:val="nil"/>
              <w:right w:val="nil"/>
            </w:tcBorders>
            <w:shd w:val="clear" w:color="auto" w:fill="auto"/>
            <w:vAlign w:val="center"/>
          </w:tcPr>
          <w:p w14:paraId="29F1AAFB" w14:textId="32F20826" w:rsidR="00BD5C2C" w:rsidRPr="00BD5C2C" w:rsidRDefault="00BD5C2C" w:rsidP="00BD5C2C">
            <w:pPr>
              <w:jc w:val="center"/>
              <w:rPr>
                <w:rFonts w:ascii="Arial" w:hAnsi="Arial" w:cs="Arial"/>
                <w:color w:val="000000"/>
                <w:sz w:val="20"/>
              </w:rPr>
            </w:pPr>
            <w:r w:rsidRPr="00733404">
              <w:rPr>
                <w:rFonts w:ascii="Arial" w:hAnsi="Arial" w:cs="Arial"/>
                <w:color w:val="000000"/>
                <w:sz w:val="20"/>
              </w:rPr>
              <w:t>17</w:t>
            </w:r>
          </w:p>
        </w:tc>
      </w:tr>
      <w:tr w:rsidR="00BD5C2C" w:rsidRPr="00BD5C2C" w14:paraId="54345D4C" w14:textId="77777777" w:rsidTr="00733404">
        <w:trPr>
          <w:trHeight w:val="288"/>
        </w:trPr>
        <w:tc>
          <w:tcPr>
            <w:tcW w:w="6416" w:type="dxa"/>
            <w:tcBorders>
              <w:top w:val="nil"/>
              <w:left w:val="nil"/>
              <w:bottom w:val="nil"/>
              <w:right w:val="nil"/>
            </w:tcBorders>
            <w:shd w:val="clear" w:color="auto" w:fill="auto"/>
          </w:tcPr>
          <w:p w14:paraId="247C4456" w14:textId="0A2F7AD7" w:rsidR="00BD5C2C" w:rsidRPr="00BD5C2C" w:rsidRDefault="00BD5C2C" w:rsidP="00733404">
            <w:pPr>
              <w:tabs>
                <w:tab w:val="left" w:pos="165"/>
              </w:tabs>
              <w:ind w:firstLineChars="200" w:firstLine="400"/>
              <w:rPr>
                <w:rFonts w:ascii="Arial" w:hAnsi="Arial" w:cs="Arial"/>
                <w:color w:val="000000"/>
                <w:sz w:val="20"/>
              </w:rPr>
            </w:pPr>
            <w:r w:rsidRPr="00733404">
              <w:rPr>
                <w:rFonts w:ascii="Arial" w:hAnsi="Arial" w:cs="Arial"/>
                <w:sz w:val="20"/>
              </w:rPr>
              <w:t>Russell 2000 Growth Index</w:t>
            </w:r>
          </w:p>
        </w:tc>
        <w:tc>
          <w:tcPr>
            <w:tcW w:w="1950" w:type="dxa"/>
            <w:tcBorders>
              <w:top w:val="nil"/>
              <w:left w:val="nil"/>
              <w:bottom w:val="nil"/>
              <w:right w:val="nil"/>
            </w:tcBorders>
            <w:shd w:val="clear" w:color="auto" w:fill="auto"/>
          </w:tcPr>
          <w:p w14:paraId="4E564D7D" w14:textId="5A884632" w:rsidR="00BD5C2C" w:rsidRPr="00BD5C2C" w:rsidRDefault="00BD5C2C" w:rsidP="00BD5C2C">
            <w:pPr>
              <w:jc w:val="center"/>
              <w:rPr>
                <w:rFonts w:ascii="Arial" w:hAnsi="Arial" w:cs="Arial"/>
                <w:color w:val="000000"/>
                <w:sz w:val="20"/>
              </w:rPr>
            </w:pPr>
            <w:r w:rsidRPr="00733404">
              <w:rPr>
                <w:rFonts w:ascii="Arial" w:hAnsi="Arial" w:cs="Arial"/>
                <w:color w:val="000000"/>
                <w:sz w:val="20"/>
              </w:rPr>
              <w:t>14.14%</w:t>
            </w:r>
          </w:p>
        </w:tc>
        <w:tc>
          <w:tcPr>
            <w:tcW w:w="1099" w:type="dxa"/>
            <w:tcBorders>
              <w:top w:val="nil"/>
              <w:left w:val="nil"/>
              <w:bottom w:val="nil"/>
              <w:right w:val="nil"/>
            </w:tcBorders>
            <w:shd w:val="clear" w:color="auto" w:fill="auto"/>
          </w:tcPr>
          <w:p w14:paraId="5FE7A1BB" w14:textId="2C17F693" w:rsidR="00BD5C2C" w:rsidRPr="00BD5C2C" w:rsidRDefault="00BD5C2C" w:rsidP="00BD5C2C">
            <w:pPr>
              <w:jc w:val="center"/>
              <w:rPr>
                <w:rFonts w:ascii="Arial" w:hAnsi="Arial" w:cs="Arial"/>
                <w:color w:val="000000"/>
                <w:sz w:val="20"/>
              </w:rPr>
            </w:pPr>
            <w:r w:rsidRPr="00733404">
              <w:rPr>
                <w:rFonts w:ascii="Arial" w:hAnsi="Arial" w:cs="Arial"/>
                <w:color w:val="000000"/>
                <w:sz w:val="20"/>
              </w:rPr>
              <w:t>95</w:t>
            </w:r>
          </w:p>
        </w:tc>
      </w:tr>
      <w:tr w:rsidR="00BD5C2C" w:rsidRPr="00BD5C2C" w14:paraId="18D371CB" w14:textId="77777777" w:rsidTr="00733404">
        <w:trPr>
          <w:trHeight w:val="288"/>
        </w:trPr>
        <w:tc>
          <w:tcPr>
            <w:tcW w:w="6416" w:type="dxa"/>
            <w:tcBorders>
              <w:top w:val="nil"/>
              <w:left w:val="nil"/>
              <w:bottom w:val="nil"/>
              <w:right w:val="nil"/>
            </w:tcBorders>
            <w:shd w:val="clear" w:color="auto" w:fill="auto"/>
          </w:tcPr>
          <w:p w14:paraId="527AD833" w14:textId="2E5B1F79" w:rsidR="00BD5C2C" w:rsidRPr="00BD5C2C" w:rsidRDefault="00BD5C2C" w:rsidP="00733404">
            <w:pPr>
              <w:tabs>
                <w:tab w:val="left" w:pos="165"/>
              </w:tabs>
              <w:ind w:firstLineChars="200" w:firstLine="400"/>
              <w:rPr>
                <w:rFonts w:ascii="Arial" w:hAnsi="Arial" w:cs="Arial"/>
                <w:w w:val="105"/>
                <w:sz w:val="20"/>
              </w:rPr>
            </w:pPr>
            <w:r w:rsidRPr="00733404">
              <w:rPr>
                <w:rFonts w:ascii="Arial" w:hAnsi="Arial" w:cs="Arial"/>
                <w:sz w:val="20"/>
              </w:rPr>
              <w:t>Callan Small Cap Growth</w:t>
            </w:r>
          </w:p>
        </w:tc>
        <w:tc>
          <w:tcPr>
            <w:tcW w:w="1950" w:type="dxa"/>
            <w:tcBorders>
              <w:top w:val="nil"/>
              <w:left w:val="nil"/>
              <w:bottom w:val="nil"/>
              <w:right w:val="nil"/>
            </w:tcBorders>
            <w:shd w:val="clear" w:color="auto" w:fill="auto"/>
          </w:tcPr>
          <w:p w14:paraId="4DC4FB16" w14:textId="78D33607" w:rsidR="00BD5C2C" w:rsidRPr="00BD5C2C" w:rsidRDefault="00BD5C2C" w:rsidP="00BD5C2C">
            <w:pPr>
              <w:jc w:val="center"/>
              <w:rPr>
                <w:rFonts w:ascii="Arial" w:hAnsi="Arial" w:cs="Arial"/>
                <w:w w:val="105"/>
                <w:sz w:val="20"/>
              </w:rPr>
            </w:pPr>
            <w:r w:rsidRPr="00733404">
              <w:rPr>
                <w:rFonts w:ascii="Arial" w:hAnsi="Arial" w:cs="Arial"/>
                <w:color w:val="000000"/>
                <w:sz w:val="20"/>
              </w:rPr>
              <w:t>17.28%</w:t>
            </w:r>
          </w:p>
        </w:tc>
        <w:tc>
          <w:tcPr>
            <w:tcW w:w="1099" w:type="dxa"/>
            <w:tcBorders>
              <w:top w:val="nil"/>
              <w:left w:val="nil"/>
              <w:bottom w:val="nil"/>
              <w:right w:val="nil"/>
            </w:tcBorders>
            <w:shd w:val="clear" w:color="auto" w:fill="auto"/>
            <w:vAlign w:val="bottom"/>
          </w:tcPr>
          <w:p w14:paraId="18E15DAD" w14:textId="77777777" w:rsidR="00BD5C2C" w:rsidRPr="00BD5C2C" w:rsidRDefault="00BD5C2C" w:rsidP="00BD5C2C">
            <w:pPr>
              <w:jc w:val="center"/>
              <w:rPr>
                <w:rFonts w:ascii="Arial" w:hAnsi="Arial" w:cs="Arial"/>
                <w:color w:val="000000"/>
                <w:sz w:val="20"/>
              </w:rPr>
            </w:pPr>
          </w:p>
        </w:tc>
      </w:tr>
      <w:tr w:rsidR="00BD5C2C" w:rsidRPr="00BD5C2C" w14:paraId="60AE0F82" w14:textId="77777777" w:rsidTr="003D12E4">
        <w:trPr>
          <w:trHeight w:val="288"/>
        </w:trPr>
        <w:tc>
          <w:tcPr>
            <w:tcW w:w="6416" w:type="dxa"/>
            <w:tcBorders>
              <w:top w:val="nil"/>
              <w:left w:val="nil"/>
              <w:bottom w:val="nil"/>
              <w:right w:val="nil"/>
            </w:tcBorders>
            <w:shd w:val="clear" w:color="auto" w:fill="auto"/>
          </w:tcPr>
          <w:p w14:paraId="00A7BD24" w14:textId="77777777" w:rsidR="00BD5C2C" w:rsidRPr="00733404" w:rsidRDefault="00BD5C2C" w:rsidP="00733404">
            <w:pPr>
              <w:tabs>
                <w:tab w:val="left" w:pos="165"/>
              </w:tabs>
              <w:rPr>
                <w:rFonts w:ascii="Arial" w:hAnsi="Arial" w:cs="Arial"/>
                <w:b/>
                <w:bCs/>
                <w:sz w:val="20"/>
              </w:rPr>
            </w:pPr>
          </w:p>
        </w:tc>
        <w:tc>
          <w:tcPr>
            <w:tcW w:w="1950" w:type="dxa"/>
            <w:tcBorders>
              <w:top w:val="nil"/>
              <w:left w:val="nil"/>
              <w:bottom w:val="nil"/>
              <w:right w:val="nil"/>
            </w:tcBorders>
            <w:shd w:val="clear" w:color="auto" w:fill="auto"/>
          </w:tcPr>
          <w:p w14:paraId="3E0FD02A" w14:textId="77777777" w:rsidR="00BD5C2C" w:rsidRPr="00733404" w:rsidRDefault="00BD5C2C" w:rsidP="00BD5C2C">
            <w:pPr>
              <w:jc w:val="center"/>
              <w:rPr>
                <w:rFonts w:ascii="Arial" w:hAnsi="Arial" w:cs="Arial"/>
                <w:b/>
                <w:bCs/>
                <w:color w:val="000000"/>
                <w:sz w:val="20"/>
              </w:rPr>
            </w:pPr>
          </w:p>
        </w:tc>
        <w:tc>
          <w:tcPr>
            <w:tcW w:w="1099" w:type="dxa"/>
            <w:tcBorders>
              <w:top w:val="nil"/>
              <w:left w:val="nil"/>
              <w:bottom w:val="nil"/>
              <w:right w:val="nil"/>
            </w:tcBorders>
            <w:shd w:val="clear" w:color="auto" w:fill="auto"/>
            <w:vAlign w:val="center"/>
          </w:tcPr>
          <w:p w14:paraId="7FB1BD09" w14:textId="77777777" w:rsidR="00BD5C2C" w:rsidRPr="00733404" w:rsidRDefault="00BD5C2C" w:rsidP="00BD5C2C">
            <w:pPr>
              <w:jc w:val="center"/>
              <w:rPr>
                <w:rFonts w:ascii="Arial" w:hAnsi="Arial" w:cs="Arial"/>
                <w:b/>
                <w:bCs/>
                <w:color w:val="000000"/>
                <w:sz w:val="20"/>
              </w:rPr>
            </w:pPr>
          </w:p>
        </w:tc>
      </w:tr>
      <w:tr w:rsidR="00BD5C2C" w:rsidRPr="00BD5C2C" w14:paraId="2A8D99EE" w14:textId="77777777" w:rsidTr="00733404">
        <w:trPr>
          <w:trHeight w:val="288"/>
        </w:trPr>
        <w:tc>
          <w:tcPr>
            <w:tcW w:w="6416" w:type="dxa"/>
            <w:tcBorders>
              <w:top w:val="nil"/>
              <w:left w:val="nil"/>
              <w:bottom w:val="nil"/>
              <w:right w:val="nil"/>
            </w:tcBorders>
            <w:shd w:val="clear" w:color="auto" w:fill="auto"/>
          </w:tcPr>
          <w:p w14:paraId="77EC08B1" w14:textId="38F9DFEE" w:rsidR="00BD5C2C" w:rsidRPr="00BD5C2C" w:rsidRDefault="00BD5C2C" w:rsidP="00733404">
            <w:pPr>
              <w:tabs>
                <w:tab w:val="left" w:pos="165"/>
              </w:tabs>
              <w:rPr>
                <w:rFonts w:ascii="Arial" w:hAnsi="Arial" w:cs="Arial"/>
                <w:color w:val="000000"/>
                <w:sz w:val="20"/>
              </w:rPr>
            </w:pPr>
            <w:r w:rsidRPr="00733404">
              <w:rPr>
                <w:rFonts w:ascii="Arial" w:hAnsi="Arial" w:cs="Arial"/>
                <w:b/>
                <w:bCs/>
                <w:sz w:val="20"/>
              </w:rPr>
              <w:t>International Equity</w:t>
            </w:r>
          </w:p>
        </w:tc>
        <w:tc>
          <w:tcPr>
            <w:tcW w:w="1950" w:type="dxa"/>
            <w:tcBorders>
              <w:top w:val="nil"/>
              <w:left w:val="nil"/>
              <w:bottom w:val="nil"/>
              <w:right w:val="nil"/>
            </w:tcBorders>
            <w:shd w:val="clear" w:color="auto" w:fill="auto"/>
          </w:tcPr>
          <w:p w14:paraId="35167792" w14:textId="65107949" w:rsidR="00BD5C2C" w:rsidRPr="00BD5C2C" w:rsidRDefault="00BD5C2C" w:rsidP="00BD5C2C">
            <w:pPr>
              <w:jc w:val="center"/>
              <w:rPr>
                <w:rFonts w:ascii="Arial" w:hAnsi="Arial" w:cs="Arial"/>
                <w:color w:val="000000"/>
                <w:sz w:val="20"/>
              </w:rPr>
            </w:pPr>
            <w:r w:rsidRPr="00733404">
              <w:rPr>
                <w:rFonts w:ascii="Arial" w:hAnsi="Arial" w:cs="Arial"/>
                <w:b/>
                <w:bCs/>
                <w:color w:val="000000"/>
                <w:sz w:val="20"/>
              </w:rPr>
              <w:t>7.63%</w:t>
            </w:r>
          </w:p>
        </w:tc>
        <w:tc>
          <w:tcPr>
            <w:tcW w:w="1099" w:type="dxa"/>
            <w:tcBorders>
              <w:top w:val="nil"/>
              <w:left w:val="nil"/>
              <w:bottom w:val="nil"/>
              <w:right w:val="nil"/>
            </w:tcBorders>
            <w:shd w:val="clear" w:color="auto" w:fill="auto"/>
            <w:vAlign w:val="center"/>
          </w:tcPr>
          <w:p w14:paraId="39F5ECE3" w14:textId="4409DED4" w:rsidR="00BD5C2C" w:rsidRPr="00BD5C2C" w:rsidRDefault="00BD5C2C" w:rsidP="00BD5C2C">
            <w:pPr>
              <w:jc w:val="center"/>
              <w:rPr>
                <w:rFonts w:ascii="Arial" w:hAnsi="Arial" w:cs="Arial"/>
                <w:color w:val="000000"/>
                <w:sz w:val="20"/>
              </w:rPr>
            </w:pPr>
            <w:r w:rsidRPr="00733404">
              <w:rPr>
                <w:rFonts w:ascii="Arial" w:hAnsi="Arial" w:cs="Arial"/>
                <w:b/>
                <w:bCs/>
                <w:color w:val="000000"/>
                <w:sz w:val="20"/>
              </w:rPr>
              <w:t>84</w:t>
            </w:r>
          </w:p>
        </w:tc>
      </w:tr>
      <w:tr w:rsidR="00BD5C2C" w:rsidRPr="00BD5C2C" w14:paraId="76A07588" w14:textId="77777777" w:rsidTr="00733404">
        <w:trPr>
          <w:trHeight w:val="288"/>
        </w:trPr>
        <w:tc>
          <w:tcPr>
            <w:tcW w:w="6416" w:type="dxa"/>
            <w:tcBorders>
              <w:top w:val="nil"/>
              <w:left w:val="nil"/>
              <w:bottom w:val="nil"/>
              <w:right w:val="nil"/>
            </w:tcBorders>
            <w:shd w:val="clear" w:color="auto" w:fill="auto"/>
          </w:tcPr>
          <w:p w14:paraId="155714A8" w14:textId="49B647C7" w:rsidR="00BD5C2C" w:rsidRPr="00BD5C2C" w:rsidRDefault="00BD5C2C" w:rsidP="00733404">
            <w:pPr>
              <w:tabs>
                <w:tab w:val="left" w:pos="165"/>
              </w:tabs>
              <w:ind w:firstLine="345"/>
              <w:rPr>
                <w:rFonts w:ascii="Arial" w:hAnsi="Arial" w:cs="Arial"/>
                <w:b/>
                <w:bCs/>
                <w:color w:val="000000"/>
                <w:sz w:val="20"/>
              </w:rPr>
            </w:pPr>
            <w:r w:rsidRPr="00733404">
              <w:rPr>
                <w:rFonts w:ascii="Arial" w:hAnsi="Arial" w:cs="Arial"/>
                <w:sz w:val="20"/>
              </w:rPr>
              <w:t>International Equity Benchmark</w:t>
            </w:r>
          </w:p>
        </w:tc>
        <w:tc>
          <w:tcPr>
            <w:tcW w:w="1950" w:type="dxa"/>
            <w:tcBorders>
              <w:top w:val="nil"/>
              <w:left w:val="nil"/>
              <w:bottom w:val="nil"/>
              <w:right w:val="nil"/>
            </w:tcBorders>
            <w:shd w:val="clear" w:color="auto" w:fill="auto"/>
          </w:tcPr>
          <w:p w14:paraId="48C038AA" w14:textId="70EC722F" w:rsidR="00BD5C2C" w:rsidRPr="00BD5C2C" w:rsidRDefault="00BD5C2C" w:rsidP="00BD5C2C">
            <w:pPr>
              <w:jc w:val="center"/>
              <w:rPr>
                <w:rFonts w:ascii="Arial" w:hAnsi="Arial" w:cs="Arial"/>
                <w:b/>
                <w:bCs/>
                <w:color w:val="000000"/>
                <w:sz w:val="20"/>
              </w:rPr>
            </w:pPr>
            <w:r w:rsidRPr="00733404">
              <w:rPr>
                <w:rFonts w:ascii="Arial" w:hAnsi="Arial" w:cs="Arial"/>
                <w:color w:val="000000"/>
                <w:sz w:val="20"/>
              </w:rPr>
              <w:t>7.67%</w:t>
            </w:r>
          </w:p>
        </w:tc>
        <w:tc>
          <w:tcPr>
            <w:tcW w:w="1099" w:type="dxa"/>
            <w:tcBorders>
              <w:top w:val="nil"/>
              <w:left w:val="nil"/>
              <w:bottom w:val="nil"/>
              <w:right w:val="nil"/>
            </w:tcBorders>
            <w:shd w:val="clear" w:color="auto" w:fill="auto"/>
          </w:tcPr>
          <w:p w14:paraId="114A9E1D" w14:textId="02761716" w:rsidR="00BD5C2C" w:rsidRPr="00BD5C2C" w:rsidRDefault="00BD5C2C" w:rsidP="00BD5C2C">
            <w:pPr>
              <w:jc w:val="center"/>
              <w:rPr>
                <w:rFonts w:ascii="Arial" w:hAnsi="Arial" w:cs="Arial"/>
                <w:b/>
                <w:bCs/>
                <w:color w:val="000000"/>
                <w:sz w:val="20"/>
              </w:rPr>
            </w:pPr>
            <w:r w:rsidRPr="00733404">
              <w:rPr>
                <w:rFonts w:ascii="Arial" w:hAnsi="Arial" w:cs="Arial"/>
                <w:color w:val="000000"/>
                <w:sz w:val="20"/>
              </w:rPr>
              <w:t>83</w:t>
            </w:r>
          </w:p>
        </w:tc>
      </w:tr>
      <w:tr w:rsidR="00BD5C2C" w:rsidRPr="00BD5C2C" w14:paraId="36DE8C62" w14:textId="77777777" w:rsidTr="00733404">
        <w:trPr>
          <w:trHeight w:val="288"/>
        </w:trPr>
        <w:tc>
          <w:tcPr>
            <w:tcW w:w="6416" w:type="dxa"/>
            <w:tcBorders>
              <w:top w:val="nil"/>
              <w:left w:val="nil"/>
              <w:bottom w:val="nil"/>
              <w:right w:val="nil"/>
            </w:tcBorders>
            <w:shd w:val="clear" w:color="auto" w:fill="auto"/>
          </w:tcPr>
          <w:p w14:paraId="04C9C8B0" w14:textId="39E56D8F" w:rsidR="00BD5C2C" w:rsidRPr="00BD5C2C" w:rsidRDefault="00BD5C2C" w:rsidP="00733404">
            <w:pPr>
              <w:tabs>
                <w:tab w:val="left" w:pos="165"/>
              </w:tabs>
              <w:ind w:firstLineChars="200" w:firstLine="400"/>
              <w:rPr>
                <w:rFonts w:ascii="Arial" w:hAnsi="Arial" w:cs="Arial"/>
                <w:color w:val="000000"/>
                <w:sz w:val="20"/>
              </w:rPr>
            </w:pPr>
            <w:r w:rsidRPr="00733404">
              <w:rPr>
                <w:rFonts w:ascii="Arial" w:hAnsi="Arial" w:cs="Arial"/>
                <w:sz w:val="20"/>
              </w:rPr>
              <w:t xml:space="preserve">Pub </w:t>
            </w:r>
            <w:proofErr w:type="spellStart"/>
            <w:r w:rsidRPr="00733404">
              <w:rPr>
                <w:rFonts w:ascii="Arial" w:hAnsi="Arial" w:cs="Arial"/>
                <w:sz w:val="20"/>
              </w:rPr>
              <w:t>Pln</w:t>
            </w:r>
            <w:proofErr w:type="spellEnd"/>
            <w:r w:rsidRPr="00733404">
              <w:rPr>
                <w:rFonts w:ascii="Arial" w:hAnsi="Arial" w:cs="Arial"/>
                <w:sz w:val="20"/>
              </w:rPr>
              <w:t>- Intl Equity</w:t>
            </w:r>
          </w:p>
        </w:tc>
        <w:tc>
          <w:tcPr>
            <w:tcW w:w="1950" w:type="dxa"/>
            <w:tcBorders>
              <w:top w:val="nil"/>
              <w:left w:val="nil"/>
              <w:bottom w:val="nil"/>
              <w:right w:val="nil"/>
            </w:tcBorders>
            <w:shd w:val="clear" w:color="auto" w:fill="auto"/>
          </w:tcPr>
          <w:p w14:paraId="4C24B92A" w14:textId="31A8E3C9" w:rsidR="00BD5C2C" w:rsidRPr="00BD5C2C" w:rsidRDefault="00BD5C2C" w:rsidP="00BD5C2C">
            <w:pPr>
              <w:jc w:val="center"/>
              <w:rPr>
                <w:rFonts w:ascii="Arial" w:hAnsi="Arial" w:cs="Arial"/>
                <w:color w:val="000000"/>
                <w:sz w:val="20"/>
              </w:rPr>
            </w:pPr>
            <w:r w:rsidRPr="00733404">
              <w:rPr>
                <w:rFonts w:ascii="Arial" w:hAnsi="Arial" w:cs="Arial"/>
                <w:color w:val="000000"/>
                <w:sz w:val="20"/>
              </w:rPr>
              <w:t>8.59%</w:t>
            </w:r>
          </w:p>
        </w:tc>
        <w:tc>
          <w:tcPr>
            <w:tcW w:w="1099" w:type="dxa"/>
            <w:tcBorders>
              <w:top w:val="nil"/>
              <w:left w:val="nil"/>
              <w:bottom w:val="nil"/>
              <w:right w:val="nil"/>
            </w:tcBorders>
            <w:shd w:val="clear" w:color="auto" w:fill="auto"/>
            <w:vAlign w:val="bottom"/>
          </w:tcPr>
          <w:p w14:paraId="37E0670F" w14:textId="373771E2" w:rsidR="00BD5C2C" w:rsidRPr="00BD5C2C" w:rsidRDefault="00BD5C2C" w:rsidP="00BD5C2C">
            <w:pPr>
              <w:jc w:val="center"/>
              <w:rPr>
                <w:rFonts w:ascii="Arial" w:hAnsi="Arial" w:cs="Arial"/>
                <w:color w:val="000000"/>
                <w:sz w:val="20"/>
              </w:rPr>
            </w:pPr>
          </w:p>
        </w:tc>
      </w:tr>
      <w:tr w:rsidR="00BD5C2C" w:rsidRPr="00BD5C2C" w14:paraId="707F7BB5" w14:textId="77777777" w:rsidTr="003D12E4">
        <w:trPr>
          <w:trHeight w:val="288"/>
        </w:trPr>
        <w:tc>
          <w:tcPr>
            <w:tcW w:w="6416" w:type="dxa"/>
            <w:tcBorders>
              <w:top w:val="nil"/>
              <w:left w:val="nil"/>
              <w:bottom w:val="nil"/>
              <w:right w:val="nil"/>
            </w:tcBorders>
            <w:shd w:val="clear" w:color="auto" w:fill="auto"/>
          </w:tcPr>
          <w:p w14:paraId="7EFCFAF4" w14:textId="77777777" w:rsidR="00BD5C2C" w:rsidRPr="00733404" w:rsidRDefault="00BD5C2C" w:rsidP="00733404">
            <w:pPr>
              <w:tabs>
                <w:tab w:val="left" w:pos="165"/>
              </w:tabs>
              <w:ind w:firstLineChars="200" w:firstLine="402"/>
              <w:rPr>
                <w:rFonts w:ascii="Arial" w:hAnsi="Arial" w:cs="Arial"/>
                <w:b/>
                <w:bCs/>
                <w:sz w:val="20"/>
              </w:rPr>
            </w:pPr>
          </w:p>
        </w:tc>
        <w:tc>
          <w:tcPr>
            <w:tcW w:w="1950" w:type="dxa"/>
            <w:tcBorders>
              <w:top w:val="nil"/>
              <w:left w:val="nil"/>
              <w:bottom w:val="nil"/>
              <w:right w:val="nil"/>
            </w:tcBorders>
            <w:shd w:val="clear" w:color="auto" w:fill="auto"/>
          </w:tcPr>
          <w:p w14:paraId="4A345B0D" w14:textId="77777777" w:rsidR="00BD5C2C" w:rsidRPr="00733404" w:rsidRDefault="00BD5C2C" w:rsidP="00BD5C2C">
            <w:pPr>
              <w:jc w:val="center"/>
              <w:rPr>
                <w:rFonts w:ascii="Arial" w:hAnsi="Arial" w:cs="Arial"/>
                <w:b/>
                <w:bCs/>
                <w:color w:val="000000"/>
                <w:sz w:val="20"/>
              </w:rPr>
            </w:pPr>
          </w:p>
        </w:tc>
        <w:tc>
          <w:tcPr>
            <w:tcW w:w="1099" w:type="dxa"/>
            <w:tcBorders>
              <w:top w:val="nil"/>
              <w:left w:val="nil"/>
              <w:bottom w:val="nil"/>
              <w:right w:val="nil"/>
            </w:tcBorders>
            <w:shd w:val="clear" w:color="auto" w:fill="auto"/>
            <w:vAlign w:val="center"/>
          </w:tcPr>
          <w:p w14:paraId="5595D7AA" w14:textId="77777777" w:rsidR="00BD5C2C" w:rsidRPr="00733404" w:rsidRDefault="00BD5C2C" w:rsidP="00BD5C2C">
            <w:pPr>
              <w:jc w:val="center"/>
              <w:rPr>
                <w:rFonts w:ascii="Arial" w:hAnsi="Arial" w:cs="Arial"/>
                <w:b/>
                <w:bCs/>
                <w:color w:val="000000"/>
                <w:sz w:val="20"/>
              </w:rPr>
            </w:pPr>
          </w:p>
        </w:tc>
      </w:tr>
      <w:tr w:rsidR="00BD5C2C" w:rsidRPr="00BD5C2C" w14:paraId="5D52F0F6" w14:textId="77777777" w:rsidTr="00733404">
        <w:trPr>
          <w:trHeight w:val="288"/>
        </w:trPr>
        <w:tc>
          <w:tcPr>
            <w:tcW w:w="6416" w:type="dxa"/>
            <w:tcBorders>
              <w:top w:val="nil"/>
              <w:left w:val="nil"/>
              <w:bottom w:val="nil"/>
              <w:right w:val="nil"/>
            </w:tcBorders>
            <w:shd w:val="clear" w:color="auto" w:fill="auto"/>
          </w:tcPr>
          <w:p w14:paraId="12BC4E97" w14:textId="6518B91A" w:rsidR="00BD5C2C" w:rsidRPr="00BD5C2C" w:rsidRDefault="00BD5C2C" w:rsidP="00733404">
            <w:pPr>
              <w:tabs>
                <w:tab w:val="left" w:pos="165"/>
              </w:tabs>
              <w:rPr>
                <w:rFonts w:ascii="Arial" w:hAnsi="Arial" w:cs="Arial"/>
                <w:color w:val="000000"/>
                <w:sz w:val="20"/>
              </w:rPr>
            </w:pPr>
            <w:r w:rsidRPr="00733404">
              <w:rPr>
                <w:rFonts w:ascii="Arial" w:hAnsi="Arial" w:cs="Arial"/>
                <w:b/>
                <w:bCs/>
                <w:sz w:val="20"/>
              </w:rPr>
              <w:t>Domestic Fixed Income</w:t>
            </w:r>
          </w:p>
        </w:tc>
        <w:tc>
          <w:tcPr>
            <w:tcW w:w="1950" w:type="dxa"/>
            <w:tcBorders>
              <w:top w:val="nil"/>
              <w:left w:val="nil"/>
              <w:bottom w:val="nil"/>
              <w:right w:val="nil"/>
            </w:tcBorders>
            <w:shd w:val="clear" w:color="auto" w:fill="auto"/>
          </w:tcPr>
          <w:p w14:paraId="5D1FB92A" w14:textId="0081F7A9" w:rsidR="00BD5C2C" w:rsidRPr="00BD5C2C" w:rsidRDefault="00BD5C2C" w:rsidP="00BD5C2C">
            <w:pPr>
              <w:jc w:val="center"/>
              <w:rPr>
                <w:rFonts w:ascii="Arial" w:hAnsi="Arial" w:cs="Arial"/>
                <w:color w:val="000000"/>
                <w:sz w:val="20"/>
              </w:rPr>
            </w:pPr>
            <w:r w:rsidRPr="00733404">
              <w:rPr>
                <w:rFonts w:ascii="Arial" w:hAnsi="Arial" w:cs="Arial"/>
                <w:b/>
                <w:bCs/>
                <w:color w:val="000000"/>
                <w:sz w:val="20"/>
              </w:rPr>
              <w:t>2.93%</w:t>
            </w:r>
          </w:p>
        </w:tc>
        <w:tc>
          <w:tcPr>
            <w:tcW w:w="1099" w:type="dxa"/>
            <w:tcBorders>
              <w:top w:val="nil"/>
              <w:left w:val="nil"/>
              <w:bottom w:val="nil"/>
              <w:right w:val="nil"/>
            </w:tcBorders>
            <w:shd w:val="clear" w:color="auto" w:fill="auto"/>
            <w:vAlign w:val="center"/>
          </w:tcPr>
          <w:p w14:paraId="250F76F2" w14:textId="1506C060" w:rsidR="00BD5C2C" w:rsidRPr="00BD5C2C" w:rsidRDefault="00BD5C2C" w:rsidP="00BD5C2C">
            <w:pPr>
              <w:jc w:val="center"/>
              <w:rPr>
                <w:rFonts w:ascii="Arial" w:hAnsi="Arial" w:cs="Arial"/>
                <w:color w:val="000000"/>
                <w:sz w:val="20"/>
              </w:rPr>
            </w:pPr>
            <w:r w:rsidRPr="00733404">
              <w:rPr>
                <w:rFonts w:ascii="Arial" w:hAnsi="Arial" w:cs="Arial"/>
                <w:b/>
                <w:bCs/>
                <w:color w:val="000000"/>
                <w:sz w:val="20"/>
              </w:rPr>
              <w:t>74</w:t>
            </w:r>
          </w:p>
        </w:tc>
      </w:tr>
      <w:tr w:rsidR="00BD5C2C" w:rsidRPr="00BD5C2C" w14:paraId="6A855920" w14:textId="77777777" w:rsidTr="00733404">
        <w:trPr>
          <w:trHeight w:val="288"/>
        </w:trPr>
        <w:tc>
          <w:tcPr>
            <w:tcW w:w="6416" w:type="dxa"/>
            <w:tcBorders>
              <w:top w:val="nil"/>
              <w:left w:val="nil"/>
              <w:bottom w:val="nil"/>
              <w:right w:val="nil"/>
            </w:tcBorders>
            <w:shd w:val="clear" w:color="auto" w:fill="auto"/>
          </w:tcPr>
          <w:p w14:paraId="51F2FF68" w14:textId="3F0EDC46" w:rsidR="00BD5C2C" w:rsidRPr="00BD5C2C" w:rsidRDefault="00BD5C2C" w:rsidP="00733404">
            <w:pPr>
              <w:tabs>
                <w:tab w:val="left" w:pos="165"/>
              </w:tabs>
              <w:ind w:firstLineChars="200" w:firstLine="400"/>
              <w:rPr>
                <w:rFonts w:ascii="Arial" w:hAnsi="Arial" w:cs="Arial"/>
                <w:color w:val="000000"/>
                <w:sz w:val="20"/>
              </w:rPr>
            </w:pPr>
            <w:r w:rsidRPr="00733404">
              <w:rPr>
                <w:rFonts w:ascii="Arial" w:hAnsi="Arial" w:cs="Arial"/>
                <w:sz w:val="20"/>
              </w:rPr>
              <w:t>Domestic Fixed Income Benchmark</w:t>
            </w:r>
          </w:p>
        </w:tc>
        <w:tc>
          <w:tcPr>
            <w:tcW w:w="1950" w:type="dxa"/>
            <w:tcBorders>
              <w:top w:val="nil"/>
              <w:left w:val="nil"/>
              <w:bottom w:val="nil"/>
              <w:right w:val="nil"/>
            </w:tcBorders>
            <w:shd w:val="clear" w:color="auto" w:fill="auto"/>
          </w:tcPr>
          <w:p w14:paraId="723D2427" w14:textId="38252DA7" w:rsidR="00BD5C2C" w:rsidRPr="00BD5C2C" w:rsidRDefault="00BD5C2C" w:rsidP="00BD5C2C">
            <w:pPr>
              <w:jc w:val="center"/>
              <w:rPr>
                <w:rFonts w:ascii="Arial" w:hAnsi="Arial" w:cs="Arial"/>
                <w:color w:val="000000"/>
                <w:sz w:val="20"/>
              </w:rPr>
            </w:pPr>
            <w:r w:rsidRPr="00733404">
              <w:rPr>
                <w:rFonts w:ascii="Arial" w:hAnsi="Arial" w:cs="Arial"/>
                <w:color w:val="000000"/>
                <w:sz w:val="20"/>
              </w:rPr>
              <w:t>2.90%</w:t>
            </w:r>
          </w:p>
        </w:tc>
        <w:tc>
          <w:tcPr>
            <w:tcW w:w="1099" w:type="dxa"/>
            <w:tcBorders>
              <w:top w:val="nil"/>
              <w:left w:val="nil"/>
              <w:bottom w:val="nil"/>
              <w:right w:val="nil"/>
            </w:tcBorders>
            <w:shd w:val="clear" w:color="auto" w:fill="auto"/>
          </w:tcPr>
          <w:p w14:paraId="2EA0D12C" w14:textId="33E9F01C" w:rsidR="00BD5C2C" w:rsidRPr="00BD5C2C" w:rsidRDefault="00BD5C2C" w:rsidP="00BD5C2C">
            <w:pPr>
              <w:jc w:val="center"/>
              <w:rPr>
                <w:rFonts w:ascii="Arial" w:hAnsi="Arial" w:cs="Arial"/>
                <w:color w:val="000000"/>
                <w:sz w:val="20"/>
              </w:rPr>
            </w:pPr>
            <w:r w:rsidRPr="00733404">
              <w:rPr>
                <w:rFonts w:ascii="Arial" w:hAnsi="Arial" w:cs="Arial"/>
                <w:color w:val="000000"/>
                <w:sz w:val="20"/>
              </w:rPr>
              <w:t>74</w:t>
            </w:r>
          </w:p>
        </w:tc>
      </w:tr>
      <w:tr w:rsidR="00BD5C2C" w:rsidRPr="00BD5C2C" w14:paraId="2BBDB084" w14:textId="77777777" w:rsidTr="00733404">
        <w:trPr>
          <w:trHeight w:val="288"/>
        </w:trPr>
        <w:tc>
          <w:tcPr>
            <w:tcW w:w="6416" w:type="dxa"/>
            <w:tcBorders>
              <w:top w:val="nil"/>
              <w:left w:val="nil"/>
              <w:bottom w:val="nil"/>
              <w:right w:val="nil"/>
            </w:tcBorders>
            <w:shd w:val="clear" w:color="auto" w:fill="auto"/>
          </w:tcPr>
          <w:p w14:paraId="7D2CD828" w14:textId="30AD2E3A" w:rsidR="00BD5C2C" w:rsidRPr="00BD5C2C" w:rsidRDefault="00BD5C2C" w:rsidP="00733404">
            <w:pPr>
              <w:tabs>
                <w:tab w:val="left" w:pos="165"/>
              </w:tabs>
              <w:ind w:firstLineChars="200" w:firstLine="400"/>
              <w:rPr>
                <w:rFonts w:ascii="Arial" w:hAnsi="Arial" w:cs="Arial"/>
                <w:w w:val="105"/>
                <w:sz w:val="20"/>
              </w:rPr>
            </w:pPr>
            <w:r w:rsidRPr="00733404">
              <w:rPr>
                <w:rFonts w:ascii="Arial" w:hAnsi="Arial" w:cs="Arial"/>
                <w:sz w:val="20"/>
              </w:rPr>
              <w:t xml:space="preserve">Pub </w:t>
            </w:r>
            <w:proofErr w:type="spellStart"/>
            <w:r w:rsidRPr="00733404">
              <w:rPr>
                <w:rFonts w:ascii="Arial" w:hAnsi="Arial" w:cs="Arial"/>
                <w:sz w:val="20"/>
              </w:rPr>
              <w:t>Pln</w:t>
            </w:r>
            <w:proofErr w:type="spellEnd"/>
            <w:r w:rsidRPr="00733404">
              <w:rPr>
                <w:rFonts w:ascii="Arial" w:hAnsi="Arial" w:cs="Arial"/>
                <w:sz w:val="20"/>
              </w:rPr>
              <w:t>- Dom Fixed</w:t>
            </w:r>
          </w:p>
        </w:tc>
        <w:tc>
          <w:tcPr>
            <w:tcW w:w="1950" w:type="dxa"/>
            <w:tcBorders>
              <w:top w:val="nil"/>
              <w:left w:val="nil"/>
              <w:bottom w:val="nil"/>
              <w:right w:val="nil"/>
            </w:tcBorders>
            <w:shd w:val="clear" w:color="auto" w:fill="auto"/>
          </w:tcPr>
          <w:p w14:paraId="3C6D6B92" w14:textId="7ED3288E" w:rsidR="00BD5C2C" w:rsidRPr="00BD5C2C" w:rsidRDefault="00BD5C2C" w:rsidP="00BD5C2C">
            <w:pPr>
              <w:jc w:val="center"/>
              <w:rPr>
                <w:rFonts w:ascii="Arial" w:hAnsi="Arial" w:cs="Arial"/>
                <w:w w:val="105"/>
                <w:sz w:val="20"/>
              </w:rPr>
            </w:pPr>
            <w:r w:rsidRPr="00733404">
              <w:rPr>
                <w:rFonts w:ascii="Arial" w:hAnsi="Arial" w:cs="Arial"/>
                <w:color w:val="000000"/>
                <w:sz w:val="20"/>
              </w:rPr>
              <w:t>3.64%</w:t>
            </w:r>
          </w:p>
        </w:tc>
        <w:tc>
          <w:tcPr>
            <w:tcW w:w="1099" w:type="dxa"/>
            <w:tcBorders>
              <w:top w:val="nil"/>
              <w:left w:val="nil"/>
              <w:bottom w:val="nil"/>
              <w:right w:val="nil"/>
            </w:tcBorders>
            <w:shd w:val="clear" w:color="auto" w:fill="auto"/>
            <w:vAlign w:val="center"/>
          </w:tcPr>
          <w:p w14:paraId="4CC48F63" w14:textId="77777777" w:rsidR="00BD5C2C" w:rsidRPr="00BD5C2C" w:rsidRDefault="00BD5C2C" w:rsidP="00BD5C2C">
            <w:pPr>
              <w:jc w:val="center"/>
              <w:rPr>
                <w:rFonts w:ascii="Arial" w:hAnsi="Arial" w:cs="Arial"/>
                <w:color w:val="000000"/>
                <w:sz w:val="20"/>
              </w:rPr>
            </w:pPr>
          </w:p>
        </w:tc>
      </w:tr>
      <w:tr w:rsidR="00BD5C2C" w:rsidRPr="00BD5C2C" w14:paraId="1838E0FB" w14:textId="77777777" w:rsidTr="003D12E4">
        <w:trPr>
          <w:trHeight w:val="288"/>
        </w:trPr>
        <w:tc>
          <w:tcPr>
            <w:tcW w:w="6416" w:type="dxa"/>
            <w:tcBorders>
              <w:top w:val="nil"/>
              <w:left w:val="nil"/>
              <w:bottom w:val="nil"/>
              <w:right w:val="nil"/>
            </w:tcBorders>
            <w:shd w:val="clear" w:color="auto" w:fill="auto"/>
            <w:vAlign w:val="center"/>
          </w:tcPr>
          <w:p w14:paraId="79A1B4E3" w14:textId="77777777" w:rsidR="00BD5C2C" w:rsidRPr="00733404" w:rsidRDefault="00BD5C2C" w:rsidP="00733404">
            <w:pPr>
              <w:tabs>
                <w:tab w:val="left" w:pos="165"/>
              </w:tabs>
              <w:rPr>
                <w:rFonts w:ascii="Arial" w:hAnsi="Arial" w:cs="Arial"/>
                <w:b/>
                <w:bCs/>
                <w:sz w:val="20"/>
              </w:rPr>
            </w:pPr>
          </w:p>
        </w:tc>
        <w:tc>
          <w:tcPr>
            <w:tcW w:w="1950" w:type="dxa"/>
            <w:tcBorders>
              <w:top w:val="nil"/>
              <w:left w:val="nil"/>
              <w:bottom w:val="nil"/>
              <w:right w:val="nil"/>
            </w:tcBorders>
            <w:shd w:val="clear" w:color="auto" w:fill="auto"/>
            <w:vAlign w:val="center"/>
          </w:tcPr>
          <w:p w14:paraId="4BA56C1D" w14:textId="77777777" w:rsidR="00BD5C2C" w:rsidRPr="00733404" w:rsidRDefault="00BD5C2C" w:rsidP="00BD5C2C">
            <w:pPr>
              <w:jc w:val="center"/>
              <w:rPr>
                <w:rFonts w:ascii="Arial" w:hAnsi="Arial" w:cs="Arial"/>
                <w:b/>
                <w:bCs/>
                <w:color w:val="000000"/>
                <w:sz w:val="20"/>
              </w:rPr>
            </w:pPr>
          </w:p>
        </w:tc>
        <w:tc>
          <w:tcPr>
            <w:tcW w:w="1099" w:type="dxa"/>
            <w:tcBorders>
              <w:top w:val="nil"/>
              <w:left w:val="nil"/>
              <w:bottom w:val="nil"/>
              <w:right w:val="nil"/>
            </w:tcBorders>
            <w:shd w:val="clear" w:color="auto" w:fill="auto"/>
            <w:vAlign w:val="center"/>
          </w:tcPr>
          <w:p w14:paraId="243173EC" w14:textId="77777777" w:rsidR="00BD5C2C" w:rsidRPr="00BD5C2C" w:rsidDel="003D12E4" w:rsidRDefault="00BD5C2C" w:rsidP="00BD5C2C">
            <w:pPr>
              <w:jc w:val="center"/>
              <w:rPr>
                <w:rFonts w:ascii="Arial" w:hAnsi="Arial" w:cs="Arial"/>
                <w:bCs/>
                <w:color w:val="000000"/>
                <w:sz w:val="20"/>
              </w:rPr>
            </w:pPr>
          </w:p>
        </w:tc>
      </w:tr>
      <w:tr w:rsidR="00BD5C2C" w:rsidRPr="00BD5C2C" w14:paraId="547DADEA" w14:textId="77777777" w:rsidTr="00733404">
        <w:trPr>
          <w:trHeight w:val="288"/>
        </w:trPr>
        <w:tc>
          <w:tcPr>
            <w:tcW w:w="6416" w:type="dxa"/>
            <w:tcBorders>
              <w:top w:val="nil"/>
              <w:left w:val="nil"/>
              <w:bottom w:val="nil"/>
              <w:right w:val="nil"/>
            </w:tcBorders>
            <w:shd w:val="clear" w:color="auto" w:fill="auto"/>
            <w:vAlign w:val="center"/>
          </w:tcPr>
          <w:p w14:paraId="18B92028" w14:textId="05553517" w:rsidR="00BD5C2C" w:rsidRPr="00BD5C2C" w:rsidRDefault="00BD5C2C" w:rsidP="00733404">
            <w:pPr>
              <w:tabs>
                <w:tab w:val="left" w:pos="165"/>
              </w:tabs>
              <w:rPr>
                <w:rFonts w:ascii="Arial" w:hAnsi="Arial" w:cs="Arial"/>
                <w:bCs/>
                <w:color w:val="000000"/>
                <w:sz w:val="20"/>
              </w:rPr>
            </w:pPr>
            <w:r w:rsidRPr="00733404">
              <w:rPr>
                <w:rFonts w:ascii="Arial" w:hAnsi="Arial" w:cs="Arial"/>
                <w:b/>
                <w:bCs/>
                <w:sz w:val="20"/>
              </w:rPr>
              <w:t>Convertibles</w:t>
            </w:r>
          </w:p>
        </w:tc>
        <w:tc>
          <w:tcPr>
            <w:tcW w:w="1950" w:type="dxa"/>
            <w:tcBorders>
              <w:top w:val="nil"/>
              <w:left w:val="nil"/>
              <w:bottom w:val="nil"/>
              <w:right w:val="nil"/>
            </w:tcBorders>
            <w:shd w:val="clear" w:color="auto" w:fill="auto"/>
            <w:vAlign w:val="center"/>
          </w:tcPr>
          <w:p w14:paraId="111357DB" w14:textId="30E26988" w:rsidR="00BD5C2C" w:rsidRPr="00BD5C2C" w:rsidRDefault="00BD5C2C" w:rsidP="00BD5C2C">
            <w:pPr>
              <w:jc w:val="center"/>
              <w:rPr>
                <w:rFonts w:ascii="Arial" w:hAnsi="Arial" w:cs="Arial"/>
                <w:bCs/>
                <w:color w:val="000000"/>
                <w:sz w:val="20"/>
              </w:rPr>
            </w:pPr>
            <w:r w:rsidRPr="00733404">
              <w:rPr>
                <w:rFonts w:ascii="Arial" w:hAnsi="Arial" w:cs="Arial"/>
                <w:b/>
                <w:bCs/>
                <w:color w:val="000000"/>
                <w:sz w:val="20"/>
              </w:rPr>
              <w:t>11.89%</w:t>
            </w:r>
          </w:p>
        </w:tc>
        <w:tc>
          <w:tcPr>
            <w:tcW w:w="1099" w:type="dxa"/>
            <w:tcBorders>
              <w:top w:val="nil"/>
              <w:left w:val="nil"/>
              <w:bottom w:val="nil"/>
              <w:right w:val="nil"/>
            </w:tcBorders>
            <w:shd w:val="clear" w:color="auto" w:fill="auto"/>
            <w:vAlign w:val="center"/>
          </w:tcPr>
          <w:p w14:paraId="2E1E1E50" w14:textId="78F74664" w:rsidR="00BD5C2C" w:rsidRPr="00BD5C2C" w:rsidRDefault="00BD5C2C" w:rsidP="00BD5C2C">
            <w:pPr>
              <w:jc w:val="center"/>
              <w:rPr>
                <w:rFonts w:ascii="Arial" w:hAnsi="Arial" w:cs="Arial"/>
                <w:bCs/>
                <w:color w:val="000000"/>
                <w:sz w:val="20"/>
              </w:rPr>
            </w:pPr>
          </w:p>
        </w:tc>
      </w:tr>
      <w:tr w:rsidR="00BD5C2C" w:rsidRPr="00BD5C2C" w14:paraId="3CB7165C" w14:textId="77777777" w:rsidTr="00733404">
        <w:trPr>
          <w:trHeight w:val="288"/>
        </w:trPr>
        <w:tc>
          <w:tcPr>
            <w:tcW w:w="6416" w:type="dxa"/>
            <w:tcBorders>
              <w:top w:val="nil"/>
              <w:left w:val="nil"/>
              <w:bottom w:val="nil"/>
              <w:right w:val="nil"/>
            </w:tcBorders>
            <w:shd w:val="clear" w:color="auto" w:fill="auto"/>
          </w:tcPr>
          <w:p w14:paraId="7485D574" w14:textId="41546F2D" w:rsidR="00BD5C2C" w:rsidRPr="00BD5C2C" w:rsidRDefault="00BD5C2C" w:rsidP="00733404">
            <w:pPr>
              <w:tabs>
                <w:tab w:val="left" w:pos="165"/>
              </w:tabs>
              <w:ind w:firstLine="435"/>
              <w:rPr>
                <w:rFonts w:ascii="Arial" w:hAnsi="Arial" w:cs="Arial"/>
                <w:bCs/>
                <w:color w:val="000000"/>
                <w:sz w:val="20"/>
              </w:rPr>
            </w:pPr>
            <w:r w:rsidRPr="00733404">
              <w:rPr>
                <w:rFonts w:ascii="Arial" w:hAnsi="Arial" w:cs="Arial"/>
                <w:sz w:val="20"/>
              </w:rPr>
              <w:t>Convertibles Benchmark</w:t>
            </w:r>
          </w:p>
        </w:tc>
        <w:tc>
          <w:tcPr>
            <w:tcW w:w="1950" w:type="dxa"/>
            <w:tcBorders>
              <w:top w:val="nil"/>
              <w:left w:val="nil"/>
              <w:bottom w:val="nil"/>
              <w:right w:val="nil"/>
            </w:tcBorders>
            <w:shd w:val="clear" w:color="auto" w:fill="auto"/>
          </w:tcPr>
          <w:p w14:paraId="4D5AAF1D" w14:textId="5F39ED22" w:rsidR="00BD5C2C" w:rsidRPr="00BD5C2C" w:rsidRDefault="00BD5C2C" w:rsidP="00BD5C2C">
            <w:pPr>
              <w:jc w:val="center"/>
              <w:rPr>
                <w:rFonts w:ascii="Arial" w:hAnsi="Arial" w:cs="Arial"/>
                <w:bCs/>
                <w:color w:val="000000"/>
                <w:sz w:val="20"/>
              </w:rPr>
            </w:pPr>
            <w:r w:rsidRPr="00733404">
              <w:rPr>
                <w:rFonts w:ascii="Arial" w:hAnsi="Arial" w:cs="Arial"/>
                <w:color w:val="000000"/>
                <w:sz w:val="20"/>
              </w:rPr>
              <w:t>12.62%</w:t>
            </w:r>
          </w:p>
        </w:tc>
        <w:tc>
          <w:tcPr>
            <w:tcW w:w="1099" w:type="dxa"/>
            <w:tcBorders>
              <w:top w:val="nil"/>
              <w:left w:val="nil"/>
              <w:bottom w:val="nil"/>
              <w:right w:val="nil"/>
            </w:tcBorders>
            <w:shd w:val="clear" w:color="auto" w:fill="auto"/>
            <w:vAlign w:val="bottom"/>
          </w:tcPr>
          <w:p w14:paraId="2AFCBBA3" w14:textId="4C4B1EBF" w:rsidR="00BD5C2C" w:rsidRPr="00BD5C2C" w:rsidRDefault="00BD5C2C" w:rsidP="00BD5C2C">
            <w:pPr>
              <w:jc w:val="center"/>
              <w:rPr>
                <w:rFonts w:ascii="Arial" w:hAnsi="Arial" w:cs="Arial"/>
                <w:bCs/>
                <w:color w:val="000000"/>
                <w:sz w:val="20"/>
              </w:rPr>
            </w:pPr>
          </w:p>
        </w:tc>
      </w:tr>
      <w:tr w:rsidR="00BD5C2C" w:rsidRPr="00BD5C2C" w14:paraId="0DA3350C" w14:textId="77777777" w:rsidTr="00733404">
        <w:trPr>
          <w:trHeight w:val="288"/>
        </w:trPr>
        <w:tc>
          <w:tcPr>
            <w:tcW w:w="6416" w:type="dxa"/>
            <w:tcBorders>
              <w:top w:val="nil"/>
              <w:left w:val="nil"/>
              <w:bottom w:val="nil"/>
              <w:right w:val="nil"/>
            </w:tcBorders>
            <w:shd w:val="clear" w:color="auto" w:fill="auto"/>
          </w:tcPr>
          <w:p w14:paraId="56E19F76" w14:textId="78E766B7" w:rsidR="00BD5C2C" w:rsidRPr="00BD5C2C" w:rsidRDefault="00BD5C2C" w:rsidP="00733404">
            <w:pPr>
              <w:tabs>
                <w:tab w:val="left" w:pos="165"/>
              </w:tabs>
              <w:ind w:firstLine="435"/>
              <w:rPr>
                <w:rFonts w:ascii="Arial" w:hAnsi="Arial" w:cs="Arial"/>
                <w:b/>
                <w:bCs/>
                <w:color w:val="000000"/>
                <w:sz w:val="20"/>
              </w:rPr>
            </w:pPr>
            <w:r w:rsidRPr="00733404">
              <w:rPr>
                <w:rFonts w:ascii="Arial" w:hAnsi="Arial" w:cs="Arial"/>
                <w:sz w:val="20"/>
              </w:rPr>
              <w:t>Advent Capital Management</w:t>
            </w:r>
          </w:p>
        </w:tc>
        <w:tc>
          <w:tcPr>
            <w:tcW w:w="1950" w:type="dxa"/>
            <w:tcBorders>
              <w:top w:val="nil"/>
              <w:left w:val="nil"/>
              <w:bottom w:val="nil"/>
              <w:right w:val="nil"/>
            </w:tcBorders>
            <w:shd w:val="clear" w:color="auto" w:fill="auto"/>
          </w:tcPr>
          <w:p w14:paraId="28AF5C1E" w14:textId="605C78CF" w:rsidR="00BD5C2C" w:rsidRPr="00BD5C2C" w:rsidRDefault="00BD5C2C" w:rsidP="00BD5C2C">
            <w:pPr>
              <w:jc w:val="center"/>
              <w:rPr>
                <w:rFonts w:ascii="Arial" w:hAnsi="Arial" w:cs="Arial"/>
                <w:bCs/>
                <w:color w:val="000000"/>
                <w:sz w:val="20"/>
              </w:rPr>
            </w:pPr>
            <w:r w:rsidRPr="00733404">
              <w:rPr>
                <w:rFonts w:ascii="Arial" w:hAnsi="Arial" w:cs="Arial"/>
                <w:color w:val="000000"/>
                <w:sz w:val="20"/>
              </w:rPr>
              <w:t>11.89%</w:t>
            </w:r>
          </w:p>
        </w:tc>
        <w:tc>
          <w:tcPr>
            <w:tcW w:w="1099" w:type="dxa"/>
            <w:tcBorders>
              <w:top w:val="nil"/>
              <w:left w:val="nil"/>
              <w:bottom w:val="nil"/>
              <w:right w:val="nil"/>
            </w:tcBorders>
            <w:shd w:val="clear" w:color="auto" w:fill="auto"/>
            <w:vAlign w:val="center"/>
          </w:tcPr>
          <w:p w14:paraId="6A6DB41A" w14:textId="5DC1287C" w:rsidR="00BD5C2C" w:rsidRPr="00BD5C2C" w:rsidRDefault="00BD5C2C" w:rsidP="00BD5C2C">
            <w:pPr>
              <w:jc w:val="center"/>
              <w:rPr>
                <w:rFonts w:ascii="Arial" w:hAnsi="Arial" w:cs="Arial"/>
                <w:bCs/>
                <w:color w:val="000000"/>
                <w:sz w:val="20"/>
              </w:rPr>
            </w:pPr>
            <w:r w:rsidRPr="00733404">
              <w:rPr>
                <w:rFonts w:ascii="Arial" w:hAnsi="Arial" w:cs="Arial"/>
                <w:color w:val="000000"/>
                <w:sz w:val="20"/>
              </w:rPr>
              <w:t>32</w:t>
            </w:r>
          </w:p>
        </w:tc>
      </w:tr>
      <w:tr w:rsidR="00BD5C2C" w:rsidRPr="00BD5C2C" w14:paraId="222D8542" w14:textId="77777777" w:rsidTr="00733404">
        <w:trPr>
          <w:trHeight w:val="288"/>
        </w:trPr>
        <w:tc>
          <w:tcPr>
            <w:tcW w:w="6416" w:type="dxa"/>
            <w:tcBorders>
              <w:top w:val="nil"/>
              <w:left w:val="nil"/>
              <w:bottom w:val="nil"/>
              <w:right w:val="nil"/>
            </w:tcBorders>
            <w:shd w:val="clear" w:color="auto" w:fill="auto"/>
          </w:tcPr>
          <w:p w14:paraId="70610F67" w14:textId="563B0592" w:rsidR="00BD5C2C" w:rsidRPr="00BD5C2C" w:rsidRDefault="00BD5C2C" w:rsidP="00733404">
            <w:pPr>
              <w:tabs>
                <w:tab w:val="left" w:pos="165"/>
              </w:tabs>
              <w:ind w:firstLine="435"/>
              <w:rPr>
                <w:rFonts w:ascii="Arial" w:hAnsi="Arial" w:cs="Arial"/>
                <w:w w:val="105"/>
                <w:sz w:val="20"/>
              </w:rPr>
            </w:pPr>
            <w:r w:rsidRPr="00733404">
              <w:rPr>
                <w:rFonts w:ascii="Arial" w:hAnsi="Arial" w:cs="Arial"/>
                <w:sz w:val="20"/>
              </w:rPr>
              <w:t>ML All IG US Convertibles</w:t>
            </w:r>
          </w:p>
        </w:tc>
        <w:tc>
          <w:tcPr>
            <w:tcW w:w="1950" w:type="dxa"/>
            <w:tcBorders>
              <w:top w:val="nil"/>
              <w:left w:val="nil"/>
              <w:bottom w:val="nil"/>
              <w:right w:val="nil"/>
            </w:tcBorders>
            <w:shd w:val="clear" w:color="auto" w:fill="auto"/>
          </w:tcPr>
          <w:p w14:paraId="5698D518" w14:textId="3151A641" w:rsidR="00BD5C2C" w:rsidRPr="00BD5C2C" w:rsidRDefault="00BD5C2C" w:rsidP="00BD5C2C">
            <w:pPr>
              <w:jc w:val="center"/>
              <w:rPr>
                <w:rFonts w:ascii="Arial" w:hAnsi="Arial" w:cs="Arial"/>
                <w:w w:val="105"/>
                <w:sz w:val="20"/>
              </w:rPr>
            </w:pPr>
            <w:r w:rsidRPr="00733404">
              <w:rPr>
                <w:rFonts w:ascii="Arial" w:hAnsi="Arial" w:cs="Arial"/>
                <w:color w:val="000000"/>
                <w:sz w:val="20"/>
              </w:rPr>
              <w:t>12.62%</w:t>
            </w:r>
          </w:p>
        </w:tc>
        <w:tc>
          <w:tcPr>
            <w:tcW w:w="1099" w:type="dxa"/>
            <w:tcBorders>
              <w:top w:val="nil"/>
              <w:left w:val="nil"/>
              <w:bottom w:val="nil"/>
              <w:right w:val="nil"/>
            </w:tcBorders>
            <w:shd w:val="clear" w:color="auto" w:fill="auto"/>
          </w:tcPr>
          <w:p w14:paraId="4033E6E4" w14:textId="2463DAE4" w:rsidR="00BD5C2C" w:rsidRPr="00BD5C2C" w:rsidRDefault="00BD5C2C" w:rsidP="00BD5C2C">
            <w:pPr>
              <w:jc w:val="center"/>
              <w:rPr>
                <w:rFonts w:ascii="Arial" w:hAnsi="Arial" w:cs="Arial"/>
                <w:bCs/>
                <w:color w:val="000000"/>
                <w:sz w:val="20"/>
              </w:rPr>
            </w:pPr>
            <w:r w:rsidRPr="00733404">
              <w:rPr>
                <w:rFonts w:ascii="Arial" w:hAnsi="Arial" w:cs="Arial"/>
                <w:color w:val="000000"/>
                <w:sz w:val="20"/>
              </w:rPr>
              <w:t>23</w:t>
            </w:r>
          </w:p>
        </w:tc>
      </w:tr>
      <w:tr w:rsidR="00BD5C2C" w:rsidRPr="00BD5C2C" w14:paraId="6E3DDEBF" w14:textId="77777777" w:rsidTr="00733404">
        <w:trPr>
          <w:trHeight w:val="288"/>
        </w:trPr>
        <w:tc>
          <w:tcPr>
            <w:tcW w:w="6416" w:type="dxa"/>
            <w:tcBorders>
              <w:top w:val="nil"/>
              <w:left w:val="nil"/>
              <w:bottom w:val="single" w:sz="4" w:space="0" w:color="000000"/>
              <w:right w:val="nil"/>
            </w:tcBorders>
            <w:shd w:val="clear" w:color="auto" w:fill="auto"/>
          </w:tcPr>
          <w:p w14:paraId="4936BA8A" w14:textId="569380A1" w:rsidR="00BD5C2C" w:rsidRPr="00BD5C2C" w:rsidRDefault="00BD5C2C" w:rsidP="00733404">
            <w:pPr>
              <w:tabs>
                <w:tab w:val="left" w:pos="165"/>
              </w:tabs>
              <w:ind w:firstLine="435"/>
              <w:rPr>
                <w:rFonts w:ascii="Arial" w:hAnsi="Arial" w:cs="Arial"/>
                <w:bCs/>
                <w:color w:val="000000"/>
                <w:sz w:val="20"/>
              </w:rPr>
            </w:pPr>
            <w:r w:rsidRPr="00733404">
              <w:rPr>
                <w:rFonts w:ascii="Arial" w:hAnsi="Arial" w:cs="Arial"/>
                <w:sz w:val="20"/>
              </w:rPr>
              <w:t>Callan Convert Bonds DB</w:t>
            </w:r>
          </w:p>
        </w:tc>
        <w:tc>
          <w:tcPr>
            <w:tcW w:w="1950" w:type="dxa"/>
            <w:tcBorders>
              <w:top w:val="nil"/>
              <w:left w:val="nil"/>
              <w:bottom w:val="single" w:sz="4" w:space="0" w:color="000000"/>
              <w:right w:val="nil"/>
            </w:tcBorders>
            <w:shd w:val="clear" w:color="auto" w:fill="auto"/>
          </w:tcPr>
          <w:p w14:paraId="539F2E47" w14:textId="73BA7BC0" w:rsidR="00BD5C2C" w:rsidRPr="00BD5C2C" w:rsidRDefault="00BD5C2C" w:rsidP="00BD5C2C">
            <w:pPr>
              <w:jc w:val="center"/>
              <w:rPr>
                <w:rFonts w:ascii="Arial" w:hAnsi="Arial" w:cs="Arial"/>
                <w:bCs/>
                <w:color w:val="000000"/>
                <w:sz w:val="20"/>
              </w:rPr>
            </w:pPr>
            <w:r w:rsidRPr="00733404">
              <w:rPr>
                <w:rFonts w:ascii="Arial" w:hAnsi="Arial" w:cs="Arial"/>
                <w:color w:val="000000"/>
                <w:sz w:val="20"/>
              </w:rPr>
              <w:t>9.63%</w:t>
            </w:r>
          </w:p>
        </w:tc>
        <w:tc>
          <w:tcPr>
            <w:tcW w:w="1099" w:type="dxa"/>
            <w:tcBorders>
              <w:top w:val="nil"/>
              <w:left w:val="nil"/>
              <w:bottom w:val="single" w:sz="4" w:space="0" w:color="000000"/>
              <w:right w:val="nil"/>
            </w:tcBorders>
            <w:shd w:val="clear" w:color="auto" w:fill="auto"/>
            <w:vAlign w:val="center"/>
          </w:tcPr>
          <w:p w14:paraId="1CBF3416" w14:textId="542A57BB" w:rsidR="00BD5C2C" w:rsidRPr="00BD5C2C" w:rsidRDefault="00BD5C2C" w:rsidP="00BD5C2C">
            <w:pPr>
              <w:jc w:val="center"/>
              <w:rPr>
                <w:rFonts w:ascii="Arial" w:hAnsi="Arial" w:cs="Arial"/>
                <w:bCs/>
                <w:color w:val="000000"/>
                <w:sz w:val="20"/>
              </w:rPr>
            </w:pPr>
            <w:r w:rsidRPr="00BD5C2C">
              <w:rPr>
                <w:color w:val="000000"/>
                <w:sz w:val="20"/>
              </w:rPr>
              <w:t> </w:t>
            </w:r>
          </w:p>
        </w:tc>
      </w:tr>
      <w:tr w:rsidR="00BD5C2C" w:rsidRPr="00BD5C2C" w14:paraId="4D22EF68" w14:textId="77777777" w:rsidTr="003D12E4">
        <w:trPr>
          <w:trHeight w:val="288"/>
        </w:trPr>
        <w:tc>
          <w:tcPr>
            <w:tcW w:w="6416" w:type="dxa"/>
            <w:tcBorders>
              <w:top w:val="nil"/>
              <w:left w:val="nil"/>
              <w:bottom w:val="nil"/>
              <w:right w:val="nil"/>
            </w:tcBorders>
            <w:shd w:val="clear" w:color="auto" w:fill="auto"/>
            <w:vAlign w:val="center"/>
          </w:tcPr>
          <w:p w14:paraId="2BB6CC13" w14:textId="77777777" w:rsidR="00BD5C2C" w:rsidRPr="00733404" w:rsidRDefault="00BD5C2C" w:rsidP="00733404">
            <w:pPr>
              <w:tabs>
                <w:tab w:val="left" w:pos="165"/>
              </w:tabs>
              <w:ind w:firstLine="444"/>
              <w:rPr>
                <w:rFonts w:ascii="Arial" w:hAnsi="Arial" w:cs="Arial"/>
                <w:b/>
                <w:bCs/>
                <w:sz w:val="20"/>
              </w:rPr>
            </w:pPr>
          </w:p>
        </w:tc>
        <w:tc>
          <w:tcPr>
            <w:tcW w:w="1950" w:type="dxa"/>
            <w:tcBorders>
              <w:top w:val="nil"/>
              <w:left w:val="nil"/>
              <w:bottom w:val="nil"/>
              <w:right w:val="nil"/>
            </w:tcBorders>
            <w:shd w:val="clear" w:color="auto" w:fill="auto"/>
            <w:vAlign w:val="center"/>
          </w:tcPr>
          <w:p w14:paraId="1EBFC17B" w14:textId="77777777" w:rsidR="00BD5C2C" w:rsidRPr="00733404" w:rsidRDefault="00BD5C2C" w:rsidP="00BD5C2C">
            <w:pPr>
              <w:jc w:val="center"/>
              <w:rPr>
                <w:rFonts w:ascii="Arial" w:hAnsi="Arial" w:cs="Arial"/>
                <w:b/>
                <w:bCs/>
                <w:color w:val="000000"/>
                <w:sz w:val="20"/>
              </w:rPr>
            </w:pPr>
          </w:p>
        </w:tc>
        <w:tc>
          <w:tcPr>
            <w:tcW w:w="1099" w:type="dxa"/>
            <w:tcBorders>
              <w:top w:val="nil"/>
              <w:left w:val="nil"/>
              <w:bottom w:val="nil"/>
              <w:right w:val="nil"/>
            </w:tcBorders>
            <w:shd w:val="clear" w:color="auto" w:fill="auto"/>
            <w:vAlign w:val="center"/>
          </w:tcPr>
          <w:p w14:paraId="3D6E5796" w14:textId="77777777" w:rsidR="00BD5C2C" w:rsidRPr="00733404" w:rsidRDefault="00BD5C2C" w:rsidP="00BD5C2C">
            <w:pPr>
              <w:jc w:val="center"/>
              <w:rPr>
                <w:rFonts w:ascii="Arial" w:hAnsi="Arial" w:cs="Arial"/>
                <w:b/>
                <w:bCs/>
                <w:color w:val="000000"/>
                <w:sz w:val="20"/>
              </w:rPr>
            </w:pPr>
          </w:p>
        </w:tc>
      </w:tr>
      <w:tr w:rsidR="00BD5C2C" w:rsidRPr="00BD5C2C" w14:paraId="3F11B550" w14:textId="77777777" w:rsidTr="00733404">
        <w:trPr>
          <w:trHeight w:val="288"/>
        </w:trPr>
        <w:tc>
          <w:tcPr>
            <w:tcW w:w="6416" w:type="dxa"/>
            <w:tcBorders>
              <w:top w:val="nil"/>
              <w:left w:val="nil"/>
              <w:bottom w:val="nil"/>
              <w:right w:val="nil"/>
            </w:tcBorders>
            <w:shd w:val="clear" w:color="auto" w:fill="auto"/>
            <w:vAlign w:val="center"/>
          </w:tcPr>
          <w:p w14:paraId="56972C69" w14:textId="4A4C12F7" w:rsidR="00BD5C2C" w:rsidRPr="00BD5C2C" w:rsidRDefault="00BD5C2C" w:rsidP="00733404">
            <w:pPr>
              <w:tabs>
                <w:tab w:val="left" w:pos="165"/>
              </w:tabs>
              <w:ind w:firstLine="444"/>
              <w:rPr>
                <w:rFonts w:ascii="Arial" w:hAnsi="Arial" w:cs="Arial"/>
                <w:bCs/>
                <w:color w:val="000000"/>
                <w:sz w:val="20"/>
              </w:rPr>
            </w:pPr>
            <w:r w:rsidRPr="00733404">
              <w:rPr>
                <w:rFonts w:ascii="Arial" w:hAnsi="Arial" w:cs="Arial"/>
                <w:b/>
                <w:bCs/>
                <w:sz w:val="20"/>
              </w:rPr>
              <w:t>Total Fund</w:t>
            </w:r>
          </w:p>
        </w:tc>
        <w:tc>
          <w:tcPr>
            <w:tcW w:w="1950" w:type="dxa"/>
            <w:tcBorders>
              <w:top w:val="nil"/>
              <w:left w:val="nil"/>
              <w:bottom w:val="nil"/>
              <w:right w:val="nil"/>
            </w:tcBorders>
            <w:shd w:val="clear" w:color="auto" w:fill="auto"/>
            <w:vAlign w:val="center"/>
          </w:tcPr>
          <w:p w14:paraId="008FAF0F" w14:textId="63805F2D" w:rsidR="00BD5C2C" w:rsidRPr="00BD5C2C" w:rsidRDefault="00BD5C2C" w:rsidP="00BD5C2C">
            <w:pPr>
              <w:jc w:val="center"/>
              <w:rPr>
                <w:rFonts w:ascii="Arial" w:hAnsi="Arial" w:cs="Arial"/>
                <w:bCs/>
                <w:color w:val="000000"/>
                <w:sz w:val="20"/>
              </w:rPr>
            </w:pPr>
            <w:r w:rsidRPr="00733404">
              <w:rPr>
                <w:rFonts w:ascii="Arial" w:hAnsi="Arial" w:cs="Arial"/>
                <w:b/>
                <w:bCs/>
                <w:color w:val="000000"/>
                <w:sz w:val="20"/>
              </w:rPr>
              <w:t>10.14%</w:t>
            </w:r>
          </w:p>
        </w:tc>
        <w:tc>
          <w:tcPr>
            <w:tcW w:w="1099" w:type="dxa"/>
            <w:tcBorders>
              <w:top w:val="nil"/>
              <w:left w:val="nil"/>
              <w:bottom w:val="nil"/>
              <w:right w:val="nil"/>
            </w:tcBorders>
            <w:shd w:val="clear" w:color="auto" w:fill="auto"/>
            <w:vAlign w:val="center"/>
          </w:tcPr>
          <w:p w14:paraId="233B900B" w14:textId="4ED02C32" w:rsidR="00BD5C2C" w:rsidRPr="00BD5C2C" w:rsidRDefault="00BD5C2C" w:rsidP="00BD5C2C">
            <w:pPr>
              <w:jc w:val="center"/>
              <w:rPr>
                <w:rFonts w:ascii="Arial" w:hAnsi="Arial" w:cs="Arial"/>
                <w:bCs/>
                <w:color w:val="000000"/>
                <w:sz w:val="20"/>
              </w:rPr>
            </w:pPr>
            <w:r w:rsidRPr="00733404">
              <w:rPr>
                <w:rFonts w:ascii="Arial" w:hAnsi="Arial" w:cs="Arial"/>
                <w:b/>
                <w:bCs/>
                <w:color w:val="000000"/>
                <w:sz w:val="20"/>
              </w:rPr>
              <w:t>35</w:t>
            </w:r>
          </w:p>
        </w:tc>
      </w:tr>
      <w:tr w:rsidR="00BD5C2C" w:rsidRPr="00BD5C2C" w14:paraId="16F327F7" w14:textId="77777777" w:rsidTr="00733404">
        <w:trPr>
          <w:trHeight w:val="288"/>
        </w:trPr>
        <w:tc>
          <w:tcPr>
            <w:tcW w:w="6416" w:type="dxa"/>
            <w:tcBorders>
              <w:top w:val="nil"/>
              <w:left w:val="nil"/>
              <w:bottom w:val="nil"/>
              <w:right w:val="nil"/>
            </w:tcBorders>
            <w:shd w:val="clear" w:color="auto" w:fill="auto"/>
          </w:tcPr>
          <w:p w14:paraId="25658FB3" w14:textId="233C54C1" w:rsidR="00BD5C2C" w:rsidRPr="00BD5C2C" w:rsidRDefault="00BD5C2C" w:rsidP="00733404">
            <w:pPr>
              <w:tabs>
                <w:tab w:val="left" w:pos="165"/>
              </w:tabs>
              <w:ind w:firstLine="444"/>
              <w:rPr>
                <w:rFonts w:ascii="Arial" w:hAnsi="Arial" w:cs="Arial"/>
                <w:bCs/>
                <w:color w:val="000000"/>
                <w:sz w:val="20"/>
              </w:rPr>
            </w:pPr>
            <w:r w:rsidRPr="00733404">
              <w:rPr>
                <w:rFonts w:ascii="Arial" w:hAnsi="Arial" w:cs="Arial"/>
                <w:sz w:val="20"/>
              </w:rPr>
              <w:t>Target*</w:t>
            </w:r>
          </w:p>
        </w:tc>
        <w:tc>
          <w:tcPr>
            <w:tcW w:w="1950" w:type="dxa"/>
            <w:tcBorders>
              <w:top w:val="nil"/>
              <w:left w:val="nil"/>
              <w:bottom w:val="nil"/>
              <w:right w:val="nil"/>
            </w:tcBorders>
            <w:shd w:val="clear" w:color="auto" w:fill="auto"/>
          </w:tcPr>
          <w:p w14:paraId="444688B7" w14:textId="5C8C3ABE" w:rsidR="00BD5C2C" w:rsidRPr="00BD5C2C" w:rsidRDefault="00BD5C2C" w:rsidP="00BD5C2C">
            <w:pPr>
              <w:jc w:val="center"/>
              <w:rPr>
                <w:rFonts w:ascii="Arial" w:hAnsi="Arial" w:cs="Arial"/>
                <w:bCs/>
                <w:color w:val="000000"/>
                <w:sz w:val="20"/>
              </w:rPr>
            </w:pPr>
            <w:r w:rsidRPr="00733404">
              <w:rPr>
                <w:rFonts w:ascii="Arial" w:hAnsi="Arial" w:cs="Arial"/>
                <w:color w:val="000000"/>
                <w:sz w:val="20"/>
              </w:rPr>
              <w:t>9.97%</w:t>
            </w:r>
          </w:p>
        </w:tc>
        <w:tc>
          <w:tcPr>
            <w:tcW w:w="1099" w:type="dxa"/>
            <w:tcBorders>
              <w:top w:val="nil"/>
              <w:left w:val="nil"/>
              <w:bottom w:val="nil"/>
              <w:right w:val="nil"/>
            </w:tcBorders>
            <w:shd w:val="clear" w:color="auto" w:fill="auto"/>
          </w:tcPr>
          <w:p w14:paraId="60F7A148" w14:textId="2B0A851C" w:rsidR="00BD5C2C" w:rsidRPr="00BD5C2C" w:rsidRDefault="00BD5C2C" w:rsidP="00BD5C2C">
            <w:pPr>
              <w:jc w:val="center"/>
              <w:rPr>
                <w:rFonts w:ascii="Arial" w:hAnsi="Arial" w:cs="Arial"/>
                <w:bCs/>
                <w:color w:val="000000"/>
                <w:sz w:val="20"/>
              </w:rPr>
            </w:pPr>
            <w:r w:rsidRPr="00733404">
              <w:rPr>
                <w:rFonts w:ascii="Arial" w:hAnsi="Arial" w:cs="Arial"/>
                <w:color w:val="000000"/>
                <w:sz w:val="20"/>
              </w:rPr>
              <w:t>40</w:t>
            </w:r>
          </w:p>
        </w:tc>
      </w:tr>
      <w:tr w:rsidR="00BD5C2C" w:rsidRPr="00BD5C2C" w14:paraId="1EE71534" w14:textId="77777777" w:rsidTr="00733404">
        <w:trPr>
          <w:trHeight w:val="288"/>
        </w:trPr>
        <w:tc>
          <w:tcPr>
            <w:tcW w:w="6416" w:type="dxa"/>
            <w:tcBorders>
              <w:top w:val="nil"/>
              <w:left w:val="nil"/>
              <w:bottom w:val="nil"/>
              <w:right w:val="nil"/>
            </w:tcBorders>
            <w:shd w:val="clear" w:color="auto" w:fill="auto"/>
          </w:tcPr>
          <w:p w14:paraId="0950FC49" w14:textId="11C9C9A7" w:rsidR="00BD5C2C" w:rsidRPr="00BD5C2C" w:rsidRDefault="00BD5C2C" w:rsidP="00733404">
            <w:pPr>
              <w:tabs>
                <w:tab w:val="left" w:pos="165"/>
              </w:tabs>
              <w:ind w:firstLine="435"/>
              <w:rPr>
                <w:rFonts w:ascii="Arial" w:hAnsi="Arial" w:cs="Arial"/>
                <w:bCs/>
                <w:color w:val="000000"/>
                <w:sz w:val="20"/>
              </w:rPr>
            </w:pPr>
            <w:r w:rsidRPr="00733404">
              <w:rPr>
                <w:rFonts w:ascii="Arial" w:eastAsia="Arial" w:hAnsi="Arial" w:cs="Arial"/>
                <w:sz w:val="20"/>
              </w:rPr>
              <w:t xml:space="preserve">5.50% Actuarial </w:t>
            </w:r>
            <w:proofErr w:type="gramStart"/>
            <w:r w:rsidRPr="00733404">
              <w:rPr>
                <w:rFonts w:ascii="Arial" w:eastAsia="Arial" w:hAnsi="Arial" w:cs="Arial"/>
                <w:sz w:val="20"/>
              </w:rPr>
              <w:t>Assumption(</w:t>
            </w:r>
            <w:proofErr w:type="gramEnd"/>
            <w:r w:rsidR="007E32D6">
              <w:rPr>
                <w:sz w:val="20"/>
              </w:rPr>
              <w:t>2</w:t>
            </w:r>
            <w:r w:rsidRPr="00733404">
              <w:rPr>
                <w:rFonts w:ascii="Arial" w:eastAsia="Arial" w:hAnsi="Arial" w:cs="Arial"/>
                <w:sz w:val="20"/>
              </w:rPr>
              <w:t>)</w:t>
            </w:r>
          </w:p>
        </w:tc>
        <w:tc>
          <w:tcPr>
            <w:tcW w:w="1950" w:type="dxa"/>
            <w:tcBorders>
              <w:top w:val="nil"/>
              <w:left w:val="nil"/>
              <w:bottom w:val="nil"/>
              <w:right w:val="nil"/>
            </w:tcBorders>
            <w:shd w:val="clear" w:color="auto" w:fill="auto"/>
          </w:tcPr>
          <w:p w14:paraId="02EB2FED" w14:textId="779312FE" w:rsidR="00BD5C2C" w:rsidRPr="00BD5C2C" w:rsidRDefault="00BD5C2C" w:rsidP="00BD5C2C">
            <w:pPr>
              <w:jc w:val="center"/>
              <w:rPr>
                <w:rFonts w:ascii="Arial" w:hAnsi="Arial" w:cs="Arial"/>
                <w:bCs/>
                <w:color w:val="000000"/>
                <w:sz w:val="20"/>
              </w:rPr>
            </w:pPr>
            <w:r w:rsidRPr="00733404">
              <w:rPr>
                <w:rFonts w:ascii="Arial" w:eastAsia="Arial" w:hAnsi="Arial" w:cs="Arial"/>
                <w:color w:val="000000"/>
                <w:sz w:val="20"/>
              </w:rPr>
              <w:t>6.55%</w:t>
            </w:r>
          </w:p>
        </w:tc>
        <w:tc>
          <w:tcPr>
            <w:tcW w:w="1099" w:type="dxa"/>
            <w:tcBorders>
              <w:top w:val="nil"/>
              <w:left w:val="nil"/>
              <w:bottom w:val="nil"/>
              <w:right w:val="nil"/>
            </w:tcBorders>
            <w:shd w:val="clear" w:color="auto" w:fill="auto"/>
          </w:tcPr>
          <w:p w14:paraId="139A3B71" w14:textId="022109D0" w:rsidR="00BD5C2C" w:rsidRPr="00BD5C2C" w:rsidRDefault="00BD5C2C" w:rsidP="00BD5C2C">
            <w:pPr>
              <w:jc w:val="center"/>
              <w:rPr>
                <w:rFonts w:ascii="Arial" w:hAnsi="Arial" w:cs="Arial"/>
                <w:bCs/>
                <w:color w:val="000000"/>
                <w:sz w:val="20"/>
              </w:rPr>
            </w:pPr>
            <w:r w:rsidRPr="00733404">
              <w:rPr>
                <w:rFonts w:ascii="Arial" w:hAnsi="Arial" w:cs="Arial"/>
                <w:color w:val="000000"/>
                <w:sz w:val="20"/>
              </w:rPr>
              <w:t>97</w:t>
            </w:r>
          </w:p>
        </w:tc>
      </w:tr>
      <w:tr w:rsidR="00BD5C2C" w:rsidRPr="00BD5C2C" w14:paraId="28B4563F" w14:textId="77777777" w:rsidTr="00733404">
        <w:trPr>
          <w:trHeight w:val="288"/>
        </w:trPr>
        <w:tc>
          <w:tcPr>
            <w:tcW w:w="6416" w:type="dxa"/>
            <w:tcBorders>
              <w:top w:val="nil"/>
              <w:left w:val="nil"/>
              <w:bottom w:val="nil"/>
              <w:right w:val="nil"/>
            </w:tcBorders>
            <w:shd w:val="clear" w:color="auto" w:fill="auto"/>
          </w:tcPr>
          <w:p w14:paraId="22252A62" w14:textId="604C8DE3" w:rsidR="00BD5C2C" w:rsidRPr="00BD5C2C" w:rsidRDefault="00BD5C2C" w:rsidP="00733404">
            <w:pPr>
              <w:tabs>
                <w:tab w:val="left" w:pos="165"/>
              </w:tabs>
              <w:ind w:firstLine="435"/>
              <w:rPr>
                <w:rFonts w:ascii="Arial" w:hAnsi="Arial" w:cs="Arial"/>
                <w:b/>
                <w:bCs/>
                <w:color w:val="000000"/>
                <w:sz w:val="20"/>
              </w:rPr>
            </w:pPr>
            <w:r w:rsidRPr="00733404">
              <w:rPr>
                <w:rFonts w:ascii="Arial" w:hAnsi="Arial" w:cs="Arial"/>
                <w:sz w:val="20"/>
              </w:rPr>
              <w:t xml:space="preserve">Callan Public Fund </w:t>
            </w:r>
            <w:proofErr w:type="spellStart"/>
            <w:r w:rsidRPr="00733404">
              <w:rPr>
                <w:rFonts w:ascii="Arial" w:hAnsi="Arial" w:cs="Arial"/>
                <w:sz w:val="20"/>
              </w:rPr>
              <w:t>Spr</w:t>
            </w:r>
            <w:proofErr w:type="spellEnd"/>
            <w:r w:rsidRPr="00733404">
              <w:rPr>
                <w:rFonts w:ascii="Arial" w:hAnsi="Arial" w:cs="Arial"/>
                <w:sz w:val="20"/>
              </w:rPr>
              <w:t xml:space="preserve"> DB</w:t>
            </w:r>
          </w:p>
        </w:tc>
        <w:tc>
          <w:tcPr>
            <w:tcW w:w="1950" w:type="dxa"/>
            <w:tcBorders>
              <w:top w:val="nil"/>
              <w:left w:val="nil"/>
              <w:bottom w:val="nil"/>
              <w:right w:val="nil"/>
            </w:tcBorders>
            <w:shd w:val="clear" w:color="auto" w:fill="auto"/>
          </w:tcPr>
          <w:p w14:paraId="06D7B7D0" w14:textId="73EC21CA" w:rsidR="00BD5C2C" w:rsidRPr="00BD5C2C" w:rsidRDefault="00BD5C2C" w:rsidP="00BD5C2C">
            <w:pPr>
              <w:jc w:val="center"/>
              <w:rPr>
                <w:rFonts w:ascii="Arial" w:hAnsi="Arial" w:cs="Arial"/>
                <w:b/>
                <w:bCs/>
                <w:color w:val="000000"/>
                <w:sz w:val="20"/>
              </w:rPr>
            </w:pPr>
            <w:r w:rsidRPr="00733404">
              <w:rPr>
                <w:rFonts w:ascii="Arial" w:hAnsi="Arial" w:cs="Arial"/>
                <w:color w:val="000000"/>
                <w:sz w:val="20"/>
              </w:rPr>
              <w:t>9.63%</w:t>
            </w:r>
          </w:p>
        </w:tc>
        <w:tc>
          <w:tcPr>
            <w:tcW w:w="1099" w:type="dxa"/>
            <w:tcBorders>
              <w:top w:val="nil"/>
              <w:left w:val="nil"/>
              <w:bottom w:val="nil"/>
              <w:right w:val="nil"/>
            </w:tcBorders>
            <w:shd w:val="clear" w:color="auto" w:fill="auto"/>
          </w:tcPr>
          <w:p w14:paraId="1CB3619C" w14:textId="10B68835" w:rsidR="00BD5C2C" w:rsidRPr="00BD5C2C" w:rsidRDefault="00BD5C2C" w:rsidP="00BD5C2C">
            <w:pPr>
              <w:jc w:val="center"/>
              <w:rPr>
                <w:rFonts w:ascii="Arial" w:hAnsi="Arial" w:cs="Arial"/>
                <w:b/>
                <w:bCs/>
                <w:color w:val="000000"/>
                <w:sz w:val="20"/>
              </w:rPr>
            </w:pPr>
          </w:p>
        </w:tc>
      </w:tr>
    </w:tbl>
    <w:p w14:paraId="3F1D91F3" w14:textId="77777777" w:rsidR="00633375" w:rsidRDefault="00633375">
      <w:pPr>
        <w:rPr>
          <w:rFonts w:ascii="Arial" w:hAnsi="Arial" w:cs="Arial"/>
          <w:spacing w:val="-3"/>
          <w:sz w:val="18"/>
          <w:szCs w:val="18"/>
        </w:rPr>
      </w:pPr>
    </w:p>
    <w:p w14:paraId="0652315F" w14:textId="77777777" w:rsidR="00C73B6E" w:rsidRDefault="00C73B6E" w:rsidP="00427197">
      <w:pPr>
        <w:autoSpaceDE w:val="0"/>
        <w:autoSpaceDN w:val="0"/>
        <w:adjustRightInd w:val="0"/>
        <w:rPr>
          <w:rFonts w:ascii="ArialMT-Regular" w:hAnsi="ArialMT-Regular" w:cs="ArialMT-Regular"/>
          <w:sz w:val="19"/>
          <w:szCs w:val="19"/>
        </w:rPr>
      </w:pPr>
    </w:p>
    <w:p w14:paraId="6C74F7C8" w14:textId="370A3C41" w:rsidR="00427197" w:rsidRPr="0078327F" w:rsidRDefault="007E32D6" w:rsidP="007E32D6">
      <w:pPr>
        <w:autoSpaceDE w:val="0"/>
        <w:autoSpaceDN w:val="0"/>
        <w:adjustRightInd w:val="0"/>
        <w:rPr>
          <w:rFonts w:ascii="Arial" w:hAnsi="Arial" w:cs="Arial"/>
          <w:spacing w:val="-3"/>
          <w:sz w:val="18"/>
          <w:szCs w:val="18"/>
        </w:rPr>
      </w:pPr>
      <w:proofErr w:type="gramStart"/>
      <w:r w:rsidRPr="007E32D6">
        <w:rPr>
          <w:rFonts w:ascii="ArialMT-Regular" w:hAnsi="ArialMT-Regular" w:cs="ArialMT-Regular"/>
          <w:sz w:val="19"/>
          <w:szCs w:val="19"/>
        </w:rPr>
        <w:t>.</w:t>
      </w:r>
      <w:r w:rsidRPr="00733404">
        <w:rPr>
          <w:rFonts w:ascii="ArialMT-Regular" w:hAnsi="ArialMT-Regular" w:cs="ArialMT-Regular"/>
          <w:sz w:val="18"/>
          <w:szCs w:val="18"/>
        </w:rPr>
        <w:t>*</w:t>
      </w:r>
      <w:proofErr w:type="gramEnd"/>
      <w:r w:rsidRPr="00733404">
        <w:rPr>
          <w:rFonts w:ascii="ArialMT-Regular" w:hAnsi="ArialMT-Regular" w:cs="ArialMT-Regular"/>
          <w:sz w:val="18"/>
          <w:szCs w:val="18"/>
        </w:rPr>
        <w:t xml:space="preserve"> Current Quarter Target = 25.5% </w:t>
      </w:r>
      <w:proofErr w:type="spellStart"/>
      <w:r w:rsidRPr="00733404">
        <w:rPr>
          <w:rFonts w:ascii="ArialMT-Regular" w:hAnsi="ArialMT-Regular" w:cs="ArialMT-Regular"/>
          <w:sz w:val="18"/>
          <w:szCs w:val="18"/>
        </w:rPr>
        <w:t>Blmbg</w:t>
      </w:r>
      <w:proofErr w:type="spellEnd"/>
      <w:r w:rsidRPr="00733404">
        <w:rPr>
          <w:rFonts w:ascii="ArialMT-Regular" w:hAnsi="ArialMT-Regular" w:cs="ArialMT-Regular"/>
          <w:sz w:val="18"/>
          <w:szCs w:val="18"/>
        </w:rPr>
        <w:t xml:space="preserve"> Aggregate, 24.0% S&amp;P 500 Index, 12.0% MSCI ACWI ex US, 12.0% MSCI EAFE, 9.0% Russell 2000 Index, 7.5% FTSE WGBI, 5.0% NCREIF NFI-ODCE Eq </w:t>
      </w:r>
      <w:proofErr w:type="spellStart"/>
      <w:r w:rsidRPr="00733404">
        <w:rPr>
          <w:rFonts w:ascii="ArialMT-Regular" w:hAnsi="ArialMT-Regular" w:cs="ArialMT-Regular"/>
          <w:sz w:val="18"/>
          <w:szCs w:val="18"/>
        </w:rPr>
        <w:t>Wt</w:t>
      </w:r>
      <w:proofErr w:type="spellEnd"/>
      <w:r w:rsidRPr="00733404">
        <w:rPr>
          <w:rFonts w:ascii="ArialMT-Regular" w:hAnsi="ArialMT-Regular" w:cs="ArialMT-Regular"/>
          <w:sz w:val="18"/>
          <w:szCs w:val="18"/>
        </w:rPr>
        <w:t xml:space="preserve"> Net and 5.0% ICE </w:t>
      </w:r>
      <w:proofErr w:type="spellStart"/>
      <w:r w:rsidRPr="00733404">
        <w:rPr>
          <w:rFonts w:ascii="ArialMT-Regular" w:hAnsi="ArialMT-Regular" w:cs="ArialMT-Regular"/>
          <w:sz w:val="18"/>
          <w:szCs w:val="18"/>
        </w:rPr>
        <w:t>Cnvrts</w:t>
      </w:r>
      <w:proofErr w:type="spellEnd"/>
      <w:r w:rsidRPr="00733404">
        <w:rPr>
          <w:rFonts w:ascii="ArialMT-Regular" w:hAnsi="ArialMT-Regular" w:cs="ArialMT-Regular"/>
          <w:sz w:val="18"/>
          <w:szCs w:val="18"/>
        </w:rPr>
        <w:t xml:space="preserve"> IG.</w:t>
      </w:r>
    </w:p>
    <w:p w14:paraId="5E52B20F" w14:textId="79DE3FD9" w:rsidR="00633375" w:rsidRPr="0078327F" w:rsidRDefault="00633375">
      <w:pPr>
        <w:rPr>
          <w:rFonts w:ascii="Arial" w:hAnsi="Arial" w:cs="Arial"/>
          <w:spacing w:val="-3"/>
          <w:sz w:val="16"/>
          <w:szCs w:val="16"/>
        </w:rPr>
      </w:pPr>
      <w:r w:rsidRPr="0078327F">
        <w:rPr>
          <w:rFonts w:ascii="Arial" w:hAnsi="Arial" w:cs="Arial"/>
          <w:spacing w:val="-3"/>
          <w:sz w:val="16"/>
          <w:szCs w:val="16"/>
        </w:rPr>
        <w:t xml:space="preserve">(1) </w:t>
      </w:r>
      <w:r w:rsidR="00E34F67">
        <w:rPr>
          <w:rFonts w:ascii="Arial" w:hAnsi="Arial" w:cs="Arial"/>
          <w:spacing w:val="-3"/>
          <w:sz w:val="16"/>
          <w:szCs w:val="16"/>
        </w:rPr>
        <w:t>R</w:t>
      </w:r>
      <w:r w:rsidRPr="0078327F">
        <w:rPr>
          <w:rFonts w:ascii="Arial" w:hAnsi="Arial" w:cs="Arial"/>
          <w:spacing w:val="-3"/>
          <w:sz w:val="16"/>
          <w:szCs w:val="16"/>
        </w:rPr>
        <w:t>eturns are reported net of fees.</w:t>
      </w:r>
    </w:p>
    <w:p w14:paraId="6A3F9029" w14:textId="3464F45F" w:rsidR="007E32D6" w:rsidRPr="007E32D6" w:rsidRDefault="00633375">
      <w:pPr>
        <w:rPr>
          <w:rFonts w:ascii="Arial" w:hAnsi="Arial" w:cs="Arial"/>
          <w:spacing w:val="-3"/>
          <w:sz w:val="16"/>
          <w:szCs w:val="16"/>
        </w:rPr>
      </w:pPr>
      <w:r w:rsidRPr="0078327F">
        <w:rPr>
          <w:rFonts w:ascii="Arial" w:hAnsi="Arial" w:cs="Arial"/>
          <w:spacing w:val="-3"/>
          <w:sz w:val="16"/>
          <w:szCs w:val="16"/>
        </w:rPr>
        <w:t xml:space="preserve">(2) </w:t>
      </w:r>
      <w:r w:rsidR="007E32D6" w:rsidRPr="00733404">
        <w:rPr>
          <w:rFonts w:ascii="ArialMT-Regular" w:hAnsi="ArialMT-Regular" w:cs="ArialMT-Regular"/>
          <w:sz w:val="16"/>
          <w:szCs w:val="16"/>
        </w:rPr>
        <w:t>7.50% through June 30, 2013; 7.25% through August 31, 2014; 6.90% through December 31, 2016; 6.70% through December 31, 2017; 6.00% through 12/31/2019; 5.50% thereafter</w:t>
      </w:r>
      <w:r w:rsidR="00CF6405">
        <w:rPr>
          <w:rFonts w:ascii="ArialMT-Regular" w:hAnsi="ArialMT-Regular" w:cs="ArialMT-Regular"/>
          <w:sz w:val="16"/>
          <w:szCs w:val="16"/>
        </w:rPr>
        <w:t>.</w:t>
      </w:r>
    </w:p>
    <w:p w14:paraId="70B91913" w14:textId="29C10C12" w:rsidR="0078327F" w:rsidRPr="007E32D6" w:rsidRDefault="00633375" w:rsidP="006816FD">
      <w:pPr>
        <w:rPr>
          <w:rFonts w:ascii="Arial" w:hAnsi="Arial" w:cs="Arial"/>
          <w:spacing w:val="-3"/>
          <w:sz w:val="16"/>
          <w:szCs w:val="16"/>
        </w:rPr>
      </w:pPr>
      <w:r w:rsidRPr="007E32D6">
        <w:rPr>
          <w:rFonts w:ascii="Arial" w:hAnsi="Arial" w:cs="Arial"/>
          <w:spacing w:val="-3"/>
          <w:sz w:val="16"/>
          <w:szCs w:val="16"/>
        </w:rPr>
        <w:t>Information obtained from Callan Report, Marta Non-Represented Pension Plan, December 31, 20</w:t>
      </w:r>
      <w:r w:rsidR="00026B6D" w:rsidRPr="007E32D6">
        <w:rPr>
          <w:rFonts w:ascii="Arial" w:hAnsi="Arial" w:cs="Arial"/>
          <w:spacing w:val="-3"/>
          <w:sz w:val="16"/>
          <w:szCs w:val="16"/>
        </w:rPr>
        <w:t>2</w:t>
      </w:r>
      <w:r w:rsidR="007E32D6">
        <w:rPr>
          <w:rFonts w:ascii="Arial" w:hAnsi="Arial" w:cs="Arial"/>
          <w:spacing w:val="-3"/>
          <w:sz w:val="16"/>
          <w:szCs w:val="16"/>
        </w:rPr>
        <w:t>1</w:t>
      </w:r>
      <w:r w:rsidRPr="007E32D6">
        <w:rPr>
          <w:rFonts w:ascii="Arial" w:hAnsi="Arial" w:cs="Arial"/>
          <w:spacing w:val="-3"/>
          <w:sz w:val="16"/>
          <w:szCs w:val="16"/>
        </w:rPr>
        <w:t>.</w:t>
      </w:r>
    </w:p>
    <w:p w14:paraId="55EEC8A7" w14:textId="21631213" w:rsidR="00CB2C15" w:rsidRPr="00FA7F3A" w:rsidRDefault="006816FD" w:rsidP="006816FD">
      <w:pPr>
        <w:rPr>
          <w:rFonts w:ascii="Arial" w:hAnsi="Arial" w:cs="Arial"/>
          <w:spacing w:val="-3"/>
          <w:sz w:val="16"/>
          <w:szCs w:val="16"/>
        </w:rPr>
      </w:pPr>
      <w:r w:rsidRPr="00FA7F3A">
        <w:rPr>
          <w:rFonts w:ascii="Arial" w:hAnsi="Arial" w:cs="Arial"/>
          <w:spacing w:val="-3"/>
          <w:sz w:val="16"/>
          <w:szCs w:val="16"/>
        </w:rPr>
        <w:t>(1) Unaudited</w:t>
      </w:r>
      <w:r w:rsidR="00CB2C15" w:rsidRPr="00FA7F3A">
        <w:rPr>
          <w:rFonts w:ascii="Arial" w:hAnsi="Arial" w:cs="Arial"/>
          <w:spacing w:val="-3"/>
          <w:sz w:val="16"/>
          <w:szCs w:val="16"/>
        </w:rPr>
        <w:br w:type="page"/>
      </w:r>
    </w:p>
    <w:p w14:paraId="4494994A" w14:textId="77777777" w:rsidR="00935FE7" w:rsidRPr="006816FD" w:rsidRDefault="00935FE7">
      <w:pPr>
        <w:pStyle w:val="BodyText"/>
        <w:spacing w:after="120"/>
        <w:rPr>
          <w:rFonts w:cs="Arial"/>
          <w:b/>
          <w:iCs/>
        </w:rPr>
      </w:pPr>
      <w:r w:rsidRPr="006816FD">
        <w:rPr>
          <w:rFonts w:cs="Arial"/>
          <w:b/>
          <w:iCs/>
        </w:rPr>
        <w:lastRenderedPageBreak/>
        <w:t>Basic Financial Statement</w:t>
      </w:r>
    </w:p>
    <w:p w14:paraId="13C997EF" w14:textId="7DD886DC" w:rsidR="00935FE7" w:rsidRPr="006816FD" w:rsidRDefault="00935FE7">
      <w:pPr>
        <w:pStyle w:val="BodyText"/>
        <w:spacing w:after="240"/>
        <w:rPr>
          <w:rFonts w:cs="Arial"/>
          <w:spacing w:val="-3"/>
        </w:rPr>
      </w:pPr>
      <w:r w:rsidRPr="006816FD">
        <w:rPr>
          <w:rFonts w:cs="Arial"/>
          <w:spacing w:val="-3"/>
        </w:rPr>
        <w:t xml:space="preserve">The Plan’s financial statements are audited annually by Gregory D. Biggs, an independent </w:t>
      </w:r>
      <w:r w:rsidR="00E56470" w:rsidRPr="006816FD">
        <w:rPr>
          <w:rFonts w:cs="Arial"/>
          <w:spacing w:val="-3"/>
        </w:rPr>
        <w:t>c</w:t>
      </w:r>
      <w:r w:rsidRPr="006816FD">
        <w:rPr>
          <w:rFonts w:cs="Arial"/>
          <w:spacing w:val="-3"/>
        </w:rPr>
        <w:t xml:space="preserve">ertified </w:t>
      </w:r>
      <w:r w:rsidR="00E56470" w:rsidRPr="006816FD">
        <w:rPr>
          <w:rFonts w:cs="Arial"/>
          <w:spacing w:val="-3"/>
        </w:rPr>
        <w:t>p</w:t>
      </w:r>
      <w:r w:rsidRPr="006816FD">
        <w:rPr>
          <w:rFonts w:cs="Arial"/>
          <w:spacing w:val="-3"/>
        </w:rPr>
        <w:t xml:space="preserve">ublic </w:t>
      </w:r>
      <w:r w:rsidR="00E56470" w:rsidRPr="006816FD">
        <w:rPr>
          <w:rFonts w:cs="Arial"/>
          <w:spacing w:val="-3"/>
        </w:rPr>
        <w:t>a</w:t>
      </w:r>
      <w:r w:rsidRPr="006816FD">
        <w:rPr>
          <w:rFonts w:cs="Arial"/>
          <w:spacing w:val="-3"/>
        </w:rPr>
        <w:t xml:space="preserve">ccountant.  The independent auditor’s report for the Plan </w:t>
      </w:r>
      <w:r w:rsidR="00E56470" w:rsidRPr="006816FD">
        <w:rPr>
          <w:rFonts w:cs="Arial"/>
          <w:spacing w:val="-3"/>
        </w:rPr>
        <w:t>y</w:t>
      </w:r>
      <w:r w:rsidR="007A47D3" w:rsidRPr="006816FD">
        <w:rPr>
          <w:rFonts w:cs="Arial"/>
          <w:spacing w:val="-3"/>
        </w:rPr>
        <w:t>ear ended</w:t>
      </w:r>
      <w:r w:rsidRPr="006816FD">
        <w:rPr>
          <w:rFonts w:cs="Arial"/>
          <w:spacing w:val="-3"/>
        </w:rPr>
        <w:t xml:space="preserve"> December 31, 20</w:t>
      </w:r>
      <w:r w:rsidR="00317074">
        <w:rPr>
          <w:rFonts w:cs="Arial"/>
          <w:spacing w:val="-3"/>
        </w:rPr>
        <w:t>2</w:t>
      </w:r>
      <w:r w:rsidR="007E32D6">
        <w:rPr>
          <w:rFonts w:cs="Arial"/>
          <w:spacing w:val="-3"/>
        </w:rPr>
        <w:t>1</w:t>
      </w:r>
      <w:r w:rsidRPr="006816FD">
        <w:rPr>
          <w:rFonts w:cs="Arial"/>
          <w:spacing w:val="-3"/>
        </w:rPr>
        <w:t xml:space="preserve"> stated that the Plan’s financial statements</w:t>
      </w:r>
      <w:r w:rsidR="00584C3C" w:rsidRPr="00584C3C">
        <w:rPr>
          <w:rFonts w:cs="Arial"/>
          <w:spacing w:val="-3"/>
        </w:rPr>
        <w:t xml:space="preserve"> </w:t>
      </w:r>
      <w:r w:rsidR="00584C3C" w:rsidRPr="006816FD">
        <w:rPr>
          <w:rFonts w:cs="Arial"/>
          <w:spacing w:val="-3"/>
        </w:rPr>
        <w:t>present</w:t>
      </w:r>
      <w:r w:rsidRPr="006816FD">
        <w:rPr>
          <w:rFonts w:cs="Arial"/>
          <w:spacing w:val="-3"/>
        </w:rPr>
        <w:t xml:space="preserve"> fairly, in all material respects, the Plan’s financial </w:t>
      </w:r>
      <w:r w:rsidR="007A47D3" w:rsidRPr="006816FD">
        <w:rPr>
          <w:rFonts w:cs="Arial"/>
          <w:spacing w:val="-3"/>
        </w:rPr>
        <w:t>position</w:t>
      </w:r>
      <w:r w:rsidRPr="006816FD">
        <w:rPr>
          <w:rFonts w:cs="Arial"/>
          <w:spacing w:val="-3"/>
        </w:rPr>
        <w:t xml:space="preserve"> as of December 31, 20</w:t>
      </w:r>
      <w:r w:rsidR="00317074">
        <w:rPr>
          <w:rFonts w:cs="Arial"/>
          <w:spacing w:val="-3"/>
        </w:rPr>
        <w:t>2</w:t>
      </w:r>
      <w:r w:rsidR="007E32D6">
        <w:rPr>
          <w:rFonts w:cs="Arial"/>
          <w:spacing w:val="-3"/>
        </w:rPr>
        <w:t>1</w:t>
      </w:r>
      <w:r w:rsidR="006265C3">
        <w:rPr>
          <w:rFonts w:cs="Arial"/>
          <w:spacing w:val="-3"/>
        </w:rPr>
        <w:t>,</w:t>
      </w:r>
      <w:r w:rsidRPr="006816FD">
        <w:rPr>
          <w:rFonts w:cs="Arial"/>
          <w:spacing w:val="-3"/>
        </w:rPr>
        <w:t xml:space="preserve"> and the changes in the Plan’s financial </w:t>
      </w:r>
      <w:r w:rsidR="007A47D3" w:rsidRPr="006816FD">
        <w:rPr>
          <w:rFonts w:cs="Arial"/>
          <w:spacing w:val="-3"/>
        </w:rPr>
        <w:t>position</w:t>
      </w:r>
      <w:r w:rsidRPr="006816FD">
        <w:rPr>
          <w:rFonts w:cs="Arial"/>
          <w:spacing w:val="-3"/>
        </w:rPr>
        <w:t xml:space="preserve"> for </w:t>
      </w:r>
      <w:r w:rsidR="00C53DB5">
        <w:rPr>
          <w:rFonts w:cs="Arial"/>
          <w:spacing w:val="-3"/>
        </w:rPr>
        <w:t>the year then ended</w:t>
      </w:r>
      <w:r w:rsidRPr="006816FD">
        <w:rPr>
          <w:rFonts w:cs="Arial"/>
          <w:spacing w:val="-3"/>
        </w:rPr>
        <w:t xml:space="preserve"> in conformity with </w:t>
      </w:r>
      <w:r w:rsidR="007A47D3" w:rsidRPr="006816FD">
        <w:rPr>
          <w:rFonts w:cs="Arial"/>
          <w:spacing w:val="-3"/>
        </w:rPr>
        <w:t xml:space="preserve">accounting principles generally accepted </w:t>
      </w:r>
      <w:r w:rsidR="008D7DDA">
        <w:rPr>
          <w:rFonts w:cs="Arial"/>
          <w:spacing w:val="-3"/>
        </w:rPr>
        <w:t>in the United States of America</w:t>
      </w:r>
      <w:r w:rsidRPr="006816FD">
        <w:rPr>
          <w:rFonts w:cs="Arial"/>
          <w:spacing w:val="-3"/>
        </w:rPr>
        <w:t>.</w:t>
      </w:r>
    </w:p>
    <w:tbl>
      <w:tblPr>
        <w:tblW w:w="6832" w:type="dxa"/>
        <w:jc w:val="center"/>
        <w:tblLook w:val="04A0" w:firstRow="1" w:lastRow="0" w:firstColumn="1" w:lastColumn="0" w:noHBand="0" w:noVBand="1"/>
      </w:tblPr>
      <w:tblGrid>
        <w:gridCol w:w="4721"/>
        <w:gridCol w:w="671"/>
        <w:gridCol w:w="1440"/>
      </w:tblGrid>
      <w:tr w:rsidR="004A2661" w:rsidRPr="006816FD" w14:paraId="12F45867" w14:textId="77777777" w:rsidTr="006F0E2E">
        <w:trPr>
          <w:trHeight w:hRule="exact" w:val="315"/>
          <w:jc w:val="center"/>
        </w:trPr>
        <w:tc>
          <w:tcPr>
            <w:tcW w:w="4721" w:type="dxa"/>
            <w:tcBorders>
              <w:top w:val="nil"/>
              <w:left w:val="nil"/>
              <w:bottom w:val="nil"/>
              <w:right w:val="nil"/>
            </w:tcBorders>
            <w:shd w:val="clear" w:color="auto" w:fill="auto"/>
            <w:hideMark/>
          </w:tcPr>
          <w:p w14:paraId="37D65C74" w14:textId="77777777" w:rsidR="004A2661" w:rsidRPr="006816FD" w:rsidRDefault="004A2661">
            <w:pPr>
              <w:jc w:val="both"/>
              <w:rPr>
                <w:rFonts w:ascii="Arial" w:hAnsi="Arial" w:cs="Arial"/>
                <w:color w:val="000000"/>
                <w:sz w:val="20"/>
              </w:rPr>
            </w:pPr>
          </w:p>
        </w:tc>
        <w:tc>
          <w:tcPr>
            <w:tcW w:w="671" w:type="dxa"/>
            <w:tcBorders>
              <w:top w:val="nil"/>
              <w:left w:val="nil"/>
              <w:bottom w:val="nil"/>
              <w:right w:val="nil"/>
            </w:tcBorders>
            <w:shd w:val="clear" w:color="auto" w:fill="auto"/>
            <w:hideMark/>
          </w:tcPr>
          <w:p w14:paraId="35A5A38F" w14:textId="77777777" w:rsidR="004A2661" w:rsidRPr="006816FD" w:rsidRDefault="004A2661">
            <w:pPr>
              <w:jc w:val="right"/>
              <w:rPr>
                <w:rFonts w:ascii="Arial" w:hAnsi="Arial" w:cs="Arial"/>
                <w:color w:val="000000"/>
                <w:sz w:val="20"/>
              </w:rPr>
            </w:pPr>
          </w:p>
        </w:tc>
        <w:tc>
          <w:tcPr>
            <w:tcW w:w="1440" w:type="dxa"/>
            <w:tcBorders>
              <w:top w:val="nil"/>
              <w:left w:val="nil"/>
              <w:bottom w:val="single" w:sz="8" w:space="0" w:color="auto"/>
              <w:right w:val="nil"/>
            </w:tcBorders>
          </w:tcPr>
          <w:p w14:paraId="2E80817D" w14:textId="76BAA06D" w:rsidR="004A2661" w:rsidRPr="006816FD" w:rsidRDefault="004A2661" w:rsidP="003B31D6">
            <w:pPr>
              <w:jc w:val="center"/>
              <w:rPr>
                <w:rFonts w:ascii="Arial" w:hAnsi="Arial" w:cs="Arial"/>
                <w:b/>
                <w:bCs/>
                <w:color w:val="000000"/>
                <w:sz w:val="20"/>
              </w:rPr>
            </w:pPr>
            <w:r w:rsidRPr="006816FD">
              <w:rPr>
                <w:rFonts w:ascii="Arial" w:hAnsi="Arial" w:cs="Arial"/>
                <w:b/>
                <w:bCs/>
                <w:color w:val="000000"/>
                <w:sz w:val="20"/>
              </w:rPr>
              <w:t>20</w:t>
            </w:r>
            <w:r w:rsidR="00EC438E">
              <w:rPr>
                <w:rFonts w:ascii="Arial" w:hAnsi="Arial" w:cs="Arial"/>
                <w:b/>
                <w:bCs/>
                <w:color w:val="000000"/>
                <w:sz w:val="20"/>
              </w:rPr>
              <w:t>2</w:t>
            </w:r>
            <w:r w:rsidR="00CE657E">
              <w:rPr>
                <w:rFonts w:ascii="Arial" w:hAnsi="Arial" w:cs="Arial"/>
                <w:b/>
                <w:bCs/>
                <w:color w:val="000000"/>
                <w:sz w:val="20"/>
              </w:rPr>
              <w:t>1</w:t>
            </w:r>
          </w:p>
        </w:tc>
      </w:tr>
      <w:tr w:rsidR="004A2661" w:rsidRPr="006816FD" w14:paraId="6D1B16A4" w14:textId="77777777" w:rsidTr="006F0E2E">
        <w:trPr>
          <w:trHeight w:val="300"/>
          <w:jc w:val="center"/>
        </w:trPr>
        <w:tc>
          <w:tcPr>
            <w:tcW w:w="4721" w:type="dxa"/>
            <w:tcBorders>
              <w:top w:val="nil"/>
              <w:left w:val="nil"/>
              <w:bottom w:val="nil"/>
              <w:right w:val="nil"/>
            </w:tcBorders>
            <w:shd w:val="clear" w:color="auto" w:fill="auto"/>
            <w:hideMark/>
          </w:tcPr>
          <w:p w14:paraId="42F01F8A" w14:textId="77777777" w:rsidR="004A2661" w:rsidRPr="006816FD" w:rsidRDefault="004A2661">
            <w:pPr>
              <w:jc w:val="both"/>
              <w:rPr>
                <w:rFonts w:ascii="Arial" w:hAnsi="Arial" w:cs="Arial"/>
                <w:b/>
                <w:bCs/>
                <w:color w:val="000000"/>
                <w:sz w:val="20"/>
              </w:rPr>
            </w:pPr>
            <w:r w:rsidRPr="006816FD">
              <w:rPr>
                <w:rFonts w:ascii="Arial" w:hAnsi="Arial" w:cs="Arial"/>
                <w:b/>
                <w:bCs/>
                <w:color w:val="000000"/>
                <w:sz w:val="20"/>
              </w:rPr>
              <w:t>Additions</w:t>
            </w:r>
            <w:r w:rsidRPr="006816FD">
              <w:rPr>
                <w:rFonts w:ascii="Arial" w:hAnsi="Arial" w:cs="Arial"/>
                <w:color w:val="000000"/>
                <w:sz w:val="20"/>
              </w:rPr>
              <w:t>:</w:t>
            </w:r>
          </w:p>
        </w:tc>
        <w:tc>
          <w:tcPr>
            <w:tcW w:w="671" w:type="dxa"/>
            <w:tcBorders>
              <w:top w:val="nil"/>
              <w:left w:val="nil"/>
              <w:bottom w:val="nil"/>
              <w:right w:val="nil"/>
            </w:tcBorders>
            <w:shd w:val="clear" w:color="auto" w:fill="auto"/>
            <w:hideMark/>
          </w:tcPr>
          <w:p w14:paraId="10F6CCD9" w14:textId="77777777" w:rsidR="004A2661" w:rsidRPr="006816FD" w:rsidRDefault="004A2661">
            <w:pPr>
              <w:jc w:val="right"/>
              <w:rPr>
                <w:rFonts w:ascii="Arial" w:hAnsi="Arial" w:cs="Arial"/>
                <w:color w:val="000000"/>
                <w:sz w:val="20"/>
              </w:rPr>
            </w:pPr>
          </w:p>
        </w:tc>
        <w:tc>
          <w:tcPr>
            <w:tcW w:w="1440" w:type="dxa"/>
            <w:tcBorders>
              <w:top w:val="nil"/>
              <w:left w:val="nil"/>
              <w:bottom w:val="nil"/>
              <w:right w:val="nil"/>
            </w:tcBorders>
          </w:tcPr>
          <w:p w14:paraId="671D60E5" w14:textId="77777777" w:rsidR="004A2661" w:rsidRPr="006816FD" w:rsidRDefault="004A2661" w:rsidP="006F3E09">
            <w:pPr>
              <w:jc w:val="right"/>
              <w:rPr>
                <w:rFonts w:ascii="Arial" w:hAnsi="Arial" w:cs="Arial"/>
                <w:color w:val="000000"/>
                <w:sz w:val="20"/>
              </w:rPr>
            </w:pPr>
          </w:p>
        </w:tc>
      </w:tr>
      <w:tr w:rsidR="004A2661" w:rsidRPr="006816FD" w14:paraId="2B815851" w14:textId="77777777" w:rsidTr="006F0E2E">
        <w:trPr>
          <w:trHeight w:val="300"/>
          <w:jc w:val="center"/>
        </w:trPr>
        <w:tc>
          <w:tcPr>
            <w:tcW w:w="4721" w:type="dxa"/>
            <w:tcBorders>
              <w:top w:val="nil"/>
              <w:left w:val="nil"/>
              <w:bottom w:val="nil"/>
              <w:right w:val="nil"/>
            </w:tcBorders>
            <w:shd w:val="clear" w:color="auto" w:fill="auto"/>
            <w:hideMark/>
          </w:tcPr>
          <w:p w14:paraId="43408F88" w14:textId="77777777" w:rsidR="004A2661" w:rsidRPr="006816FD" w:rsidRDefault="004A2661">
            <w:pPr>
              <w:jc w:val="both"/>
              <w:rPr>
                <w:rFonts w:ascii="Arial" w:hAnsi="Arial" w:cs="Arial"/>
                <w:color w:val="000000"/>
                <w:sz w:val="20"/>
              </w:rPr>
            </w:pPr>
            <w:r w:rsidRPr="006816FD">
              <w:rPr>
                <w:rFonts w:ascii="Arial" w:hAnsi="Arial" w:cs="Arial"/>
                <w:color w:val="000000"/>
                <w:sz w:val="20"/>
              </w:rPr>
              <w:t>Investment Income:</w:t>
            </w:r>
          </w:p>
        </w:tc>
        <w:tc>
          <w:tcPr>
            <w:tcW w:w="671" w:type="dxa"/>
            <w:tcBorders>
              <w:top w:val="nil"/>
              <w:left w:val="nil"/>
              <w:bottom w:val="nil"/>
              <w:right w:val="nil"/>
            </w:tcBorders>
            <w:shd w:val="clear" w:color="auto" w:fill="auto"/>
            <w:hideMark/>
          </w:tcPr>
          <w:p w14:paraId="1ECF3B49" w14:textId="77777777" w:rsidR="004A2661" w:rsidRPr="006816FD" w:rsidRDefault="004A2661">
            <w:pPr>
              <w:jc w:val="right"/>
              <w:rPr>
                <w:rFonts w:ascii="Arial" w:hAnsi="Arial" w:cs="Arial"/>
                <w:color w:val="000000"/>
                <w:sz w:val="20"/>
              </w:rPr>
            </w:pPr>
          </w:p>
        </w:tc>
        <w:tc>
          <w:tcPr>
            <w:tcW w:w="1440" w:type="dxa"/>
            <w:tcBorders>
              <w:top w:val="nil"/>
              <w:left w:val="nil"/>
              <w:bottom w:val="nil"/>
              <w:right w:val="nil"/>
            </w:tcBorders>
          </w:tcPr>
          <w:p w14:paraId="0F22220F" w14:textId="77777777" w:rsidR="004A2661" w:rsidRPr="006816FD" w:rsidRDefault="004A2661" w:rsidP="006F3E09">
            <w:pPr>
              <w:jc w:val="right"/>
              <w:rPr>
                <w:rFonts w:ascii="Arial" w:hAnsi="Arial" w:cs="Arial"/>
                <w:color w:val="000000"/>
                <w:sz w:val="20"/>
              </w:rPr>
            </w:pPr>
          </w:p>
        </w:tc>
      </w:tr>
      <w:tr w:rsidR="004A2661" w:rsidRPr="006816FD" w14:paraId="66775745" w14:textId="77777777" w:rsidTr="0078327F">
        <w:trPr>
          <w:trHeight w:val="300"/>
          <w:jc w:val="center"/>
        </w:trPr>
        <w:tc>
          <w:tcPr>
            <w:tcW w:w="4721" w:type="dxa"/>
            <w:tcBorders>
              <w:top w:val="nil"/>
              <w:left w:val="nil"/>
              <w:bottom w:val="nil"/>
              <w:right w:val="nil"/>
            </w:tcBorders>
            <w:shd w:val="clear" w:color="auto" w:fill="auto"/>
            <w:hideMark/>
          </w:tcPr>
          <w:p w14:paraId="1C25DE1D" w14:textId="77777777" w:rsidR="004A2661" w:rsidRPr="006816FD" w:rsidRDefault="004A2661">
            <w:pPr>
              <w:jc w:val="both"/>
              <w:rPr>
                <w:rFonts w:ascii="Arial" w:hAnsi="Arial" w:cs="Arial"/>
                <w:color w:val="000000"/>
                <w:sz w:val="20"/>
              </w:rPr>
            </w:pPr>
            <w:r w:rsidRPr="006816FD">
              <w:rPr>
                <w:rFonts w:ascii="Arial" w:hAnsi="Arial" w:cs="Arial"/>
                <w:color w:val="000000"/>
                <w:sz w:val="20"/>
              </w:rPr>
              <w:t xml:space="preserve">    Dividends and Interest </w:t>
            </w:r>
          </w:p>
        </w:tc>
        <w:tc>
          <w:tcPr>
            <w:tcW w:w="671" w:type="dxa"/>
            <w:tcBorders>
              <w:top w:val="nil"/>
              <w:left w:val="nil"/>
              <w:bottom w:val="nil"/>
              <w:right w:val="nil"/>
            </w:tcBorders>
            <w:shd w:val="clear" w:color="auto" w:fill="auto"/>
            <w:vAlign w:val="bottom"/>
            <w:hideMark/>
          </w:tcPr>
          <w:p w14:paraId="73C6CB55" w14:textId="77777777" w:rsidR="004A2661" w:rsidRPr="006816FD" w:rsidRDefault="004A2661">
            <w:pPr>
              <w:jc w:val="right"/>
              <w:rPr>
                <w:rFonts w:ascii="Arial" w:hAnsi="Arial" w:cs="Arial"/>
                <w:color w:val="000000"/>
                <w:sz w:val="20"/>
              </w:rPr>
            </w:pPr>
            <w:r w:rsidRPr="006816FD">
              <w:rPr>
                <w:rFonts w:ascii="Arial" w:hAnsi="Arial" w:cs="Arial"/>
                <w:color w:val="000000"/>
                <w:sz w:val="20"/>
              </w:rPr>
              <w:t>$</w:t>
            </w:r>
          </w:p>
        </w:tc>
        <w:tc>
          <w:tcPr>
            <w:tcW w:w="1440" w:type="dxa"/>
            <w:tcBorders>
              <w:top w:val="nil"/>
              <w:left w:val="nil"/>
              <w:right w:val="nil"/>
            </w:tcBorders>
            <w:vAlign w:val="bottom"/>
          </w:tcPr>
          <w:p w14:paraId="2C73830D" w14:textId="70A97533" w:rsidR="004A2661" w:rsidRPr="006816FD" w:rsidRDefault="00CE657E" w:rsidP="006F3E09">
            <w:pPr>
              <w:jc w:val="right"/>
              <w:rPr>
                <w:rFonts w:ascii="Arial" w:hAnsi="Arial" w:cs="Arial"/>
                <w:color w:val="000000"/>
                <w:sz w:val="20"/>
              </w:rPr>
            </w:pPr>
            <w:r w:rsidRPr="00CE657E">
              <w:rPr>
                <w:rFonts w:ascii="Arial" w:hAnsi="Arial" w:cs="Arial"/>
                <w:color w:val="000000"/>
                <w:sz w:val="20"/>
              </w:rPr>
              <w:t>4,078,244</w:t>
            </w:r>
          </w:p>
        </w:tc>
      </w:tr>
      <w:tr w:rsidR="004A2661" w:rsidRPr="006816FD" w14:paraId="5B6A00D4" w14:textId="77777777" w:rsidTr="0078327F">
        <w:trPr>
          <w:trHeight w:val="570"/>
          <w:jc w:val="center"/>
        </w:trPr>
        <w:tc>
          <w:tcPr>
            <w:tcW w:w="4721" w:type="dxa"/>
            <w:tcBorders>
              <w:top w:val="nil"/>
              <w:left w:val="nil"/>
              <w:bottom w:val="nil"/>
              <w:right w:val="nil"/>
            </w:tcBorders>
            <w:shd w:val="clear" w:color="auto" w:fill="auto"/>
            <w:hideMark/>
          </w:tcPr>
          <w:p w14:paraId="0B5BF233" w14:textId="77777777" w:rsidR="0016548A" w:rsidRPr="006816FD" w:rsidRDefault="004A2661" w:rsidP="000F3277">
            <w:pPr>
              <w:ind w:left="720" w:hanging="720"/>
              <w:jc w:val="both"/>
              <w:rPr>
                <w:rFonts w:ascii="Arial" w:hAnsi="Arial" w:cs="Arial"/>
                <w:color w:val="000000"/>
                <w:sz w:val="20"/>
              </w:rPr>
            </w:pPr>
            <w:r w:rsidRPr="006816FD">
              <w:rPr>
                <w:rFonts w:ascii="Arial" w:hAnsi="Arial" w:cs="Arial"/>
                <w:color w:val="000000"/>
                <w:sz w:val="20"/>
              </w:rPr>
              <w:t xml:space="preserve">    </w:t>
            </w:r>
            <w:r w:rsidR="0016548A" w:rsidRPr="006816FD">
              <w:rPr>
                <w:rFonts w:ascii="Arial" w:hAnsi="Arial" w:cs="Arial"/>
                <w:color w:val="000000"/>
                <w:sz w:val="20"/>
              </w:rPr>
              <w:t xml:space="preserve">Real Estate Income                                           </w:t>
            </w:r>
          </w:p>
          <w:p w14:paraId="616732DE" w14:textId="77777777" w:rsidR="004A2661" w:rsidRPr="006816FD" w:rsidRDefault="000F3277" w:rsidP="00E742A2">
            <w:pPr>
              <w:rPr>
                <w:rFonts w:ascii="Arial" w:hAnsi="Arial" w:cs="Arial"/>
                <w:color w:val="000000"/>
                <w:sz w:val="20"/>
              </w:rPr>
            </w:pPr>
            <w:r w:rsidRPr="006816FD">
              <w:rPr>
                <w:rFonts w:ascii="Arial" w:hAnsi="Arial" w:cs="Arial"/>
                <w:color w:val="000000"/>
                <w:sz w:val="20"/>
              </w:rPr>
              <w:t>Net Increase</w:t>
            </w:r>
            <w:r w:rsidR="0016548A" w:rsidRPr="006816FD">
              <w:rPr>
                <w:rFonts w:ascii="Arial" w:hAnsi="Arial" w:cs="Arial"/>
                <w:color w:val="000000"/>
                <w:sz w:val="20"/>
              </w:rPr>
              <w:t xml:space="preserve"> (Decrease)</w:t>
            </w:r>
            <w:r w:rsidRPr="006816FD">
              <w:rPr>
                <w:rFonts w:ascii="Arial" w:hAnsi="Arial" w:cs="Arial"/>
                <w:color w:val="000000"/>
                <w:sz w:val="20"/>
              </w:rPr>
              <w:t xml:space="preserve"> in Fair Value of Investments</w:t>
            </w:r>
          </w:p>
          <w:p w14:paraId="4F174C29" w14:textId="77777777" w:rsidR="0016548A" w:rsidRPr="006816FD" w:rsidRDefault="0016548A" w:rsidP="000F3277">
            <w:pPr>
              <w:ind w:left="720" w:hanging="720"/>
              <w:jc w:val="both"/>
              <w:rPr>
                <w:rFonts w:ascii="Arial" w:hAnsi="Arial" w:cs="Arial"/>
                <w:color w:val="000000"/>
                <w:sz w:val="20"/>
              </w:rPr>
            </w:pPr>
          </w:p>
        </w:tc>
        <w:tc>
          <w:tcPr>
            <w:tcW w:w="671" w:type="dxa"/>
            <w:tcBorders>
              <w:top w:val="nil"/>
              <w:left w:val="nil"/>
              <w:bottom w:val="nil"/>
              <w:right w:val="nil"/>
            </w:tcBorders>
            <w:shd w:val="clear" w:color="auto" w:fill="auto"/>
            <w:hideMark/>
          </w:tcPr>
          <w:p w14:paraId="4BD18EBF" w14:textId="77777777" w:rsidR="004A2661" w:rsidRPr="006816FD" w:rsidRDefault="0016548A">
            <w:pPr>
              <w:jc w:val="right"/>
              <w:rPr>
                <w:rFonts w:ascii="Arial" w:hAnsi="Arial" w:cs="Arial"/>
                <w:color w:val="000000"/>
                <w:sz w:val="20"/>
              </w:rPr>
            </w:pPr>
            <w:r w:rsidRPr="006816FD">
              <w:rPr>
                <w:rFonts w:ascii="Arial" w:hAnsi="Arial" w:cs="Arial"/>
                <w:color w:val="000000"/>
                <w:sz w:val="20"/>
              </w:rPr>
              <w:t xml:space="preserve">             </w:t>
            </w:r>
          </w:p>
        </w:tc>
        <w:tc>
          <w:tcPr>
            <w:tcW w:w="1440" w:type="dxa"/>
            <w:tcBorders>
              <w:top w:val="nil"/>
              <w:left w:val="nil"/>
              <w:bottom w:val="single" w:sz="4" w:space="0" w:color="auto"/>
              <w:right w:val="nil"/>
            </w:tcBorders>
          </w:tcPr>
          <w:p w14:paraId="700CE349" w14:textId="599CF4A6" w:rsidR="00317074" w:rsidRDefault="00CE657E" w:rsidP="00ED1704">
            <w:pPr>
              <w:jc w:val="right"/>
              <w:rPr>
                <w:rFonts w:ascii="Arial" w:hAnsi="Arial" w:cs="Arial"/>
                <w:color w:val="000000"/>
                <w:sz w:val="20"/>
              </w:rPr>
            </w:pPr>
            <w:r w:rsidRPr="00CE657E">
              <w:rPr>
                <w:rFonts w:ascii="Arial" w:hAnsi="Arial" w:cs="Arial"/>
                <w:color w:val="000000"/>
                <w:sz w:val="20"/>
              </w:rPr>
              <w:t>907,393</w:t>
            </w:r>
          </w:p>
          <w:p w14:paraId="65BCB508" w14:textId="77777777" w:rsidR="00CE657E" w:rsidRDefault="00CE657E" w:rsidP="00ED1704">
            <w:pPr>
              <w:jc w:val="right"/>
              <w:rPr>
                <w:rFonts w:ascii="Arial" w:hAnsi="Arial" w:cs="Arial"/>
                <w:color w:val="000000"/>
                <w:sz w:val="20"/>
              </w:rPr>
            </w:pPr>
          </w:p>
          <w:p w14:paraId="0F409D4C" w14:textId="756278BE" w:rsidR="004A2661" w:rsidRPr="0078327F" w:rsidRDefault="00CE657E" w:rsidP="00ED1704">
            <w:pPr>
              <w:jc w:val="right"/>
              <w:rPr>
                <w:rFonts w:ascii="Arial" w:hAnsi="Arial" w:cs="Arial"/>
                <w:sz w:val="20"/>
              </w:rPr>
            </w:pPr>
            <w:r w:rsidRPr="00CE657E">
              <w:rPr>
                <w:rFonts w:ascii="Arial" w:hAnsi="Arial" w:cs="Arial"/>
                <w:sz w:val="20"/>
              </w:rPr>
              <w:t>52,463,836</w:t>
            </w:r>
          </w:p>
        </w:tc>
      </w:tr>
      <w:tr w:rsidR="004A2661" w:rsidRPr="006816FD" w14:paraId="5115CF21" w14:textId="77777777" w:rsidTr="0078327F">
        <w:trPr>
          <w:trHeight w:val="585"/>
          <w:jc w:val="center"/>
        </w:trPr>
        <w:tc>
          <w:tcPr>
            <w:tcW w:w="4721" w:type="dxa"/>
            <w:tcBorders>
              <w:top w:val="nil"/>
              <w:left w:val="nil"/>
              <w:bottom w:val="nil"/>
              <w:right w:val="nil"/>
            </w:tcBorders>
            <w:shd w:val="clear" w:color="auto" w:fill="auto"/>
          </w:tcPr>
          <w:p w14:paraId="0CAEAB25" w14:textId="77777777" w:rsidR="004A2661" w:rsidRPr="006816FD" w:rsidRDefault="00A53901" w:rsidP="00E742A2">
            <w:pPr>
              <w:rPr>
                <w:rFonts w:ascii="Arial" w:hAnsi="Arial" w:cs="Arial"/>
                <w:b/>
                <w:color w:val="000000"/>
                <w:sz w:val="20"/>
              </w:rPr>
            </w:pPr>
            <w:r w:rsidRPr="006816FD">
              <w:rPr>
                <w:rFonts w:ascii="Arial" w:hAnsi="Arial" w:cs="Arial"/>
                <w:b/>
                <w:color w:val="000000"/>
                <w:sz w:val="20"/>
              </w:rPr>
              <w:t>Less Investment Expenses Other Than Securities Lending:</w:t>
            </w:r>
          </w:p>
        </w:tc>
        <w:tc>
          <w:tcPr>
            <w:tcW w:w="671" w:type="dxa"/>
            <w:tcBorders>
              <w:top w:val="nil"/>
              <w:left w:val="nil"/>
              <w:bottom w:val="nil"/>
              <w:right w:val="nil"/>
            </w:tcBorders>
            <w:shd w:val="clear" w:color="auto" w:fill="auto"/>
          </w:tcPr>
          <w:p w14:paraId="23E87406" w14:textId="77777777" w:rsidR="004A2661" w:rsidRPr="006816FD" w:rsidRDefault="004A2661">
            <w:pPr>
              <w:jc w:val="right"/>
              <w:rPr>
                <w:rFonts w:ascii="Arial" w:hAnsi="Arial" w:cs="Arial"/>
                <w:color w:val="000000"/>
                <w:sz w:val="20"/>
              </w:rPr>
            </w:pPr>
          </w:p>
        </w:tc>
        <w:tc>
          <w:tcPr>
            <w:tcW w:w="1440" w:type="dxa"/>
            <w:tcBorders>
              <w:top w:val="single" w:sz="4" w:space="0" w:color="auto"/>
              <w:left w:val="nil"/>
              <w:right w:val="nil"/>
            </w:tcBorders>
          </w:tcPr>
          <w:p w14:paraId="27B7CBE5" w14:textId="77777777" w:rsidR="004A2661" w:rsidRPr="006816FD" w:rsidRDefault="004A2661" w:rsidP="006F3E09">
            <w:pPr>
              <w:jc w:val="right"/>
              <w:rPr>
                <w:rFonts w:ascii="Arial" w:hAnsi="Arial" w:cs="Arial"/>
                <w:color w:val="000000"/>
                <w:sz w:val="20"/>
              </w:rPr>
            </w:pPr>
          </w:p>
        </w:tc>
      </w:tr>
      <w:tr w:rsidR="00A53901" w:rsidRPr="006816FD" w14:paraId="5DD391C2" w14:textId="77777777" w:rsidTr="006F0E2E">
        <w:trPr>
          <w:trHeight w:val="315"/>
          <w:jc w:val="center"/>
        </w:trPr>
        <w:tc>
          <w:tcPr>
            <w:tcW w:w="4721" w:type="dxa"/>
            <w:tcBorders>
              <w:top w:val="nil"/>
              <w:left w:val="nil"/>
              <w:bottom w:val="nil"/>
              <w:right w:val="nil"/>
            </w:tcBorders>
            <w:shd w:val="clear" w:color="auto" w:fill="auto"/>
          </w:tcPr>
          <w:p w14:paraId="4CB81501" w14:textId="77777777" w:rsidR="00A53901" w:rsidRPr="006816FD" w:rsidRDefault="00A53901">
            <w:pPr>
              <w:jc w:val="both"/>
              <w:rPr>
                <w:rFonts w:ascii="Arial" w:hAnsi="Arial" w:cs="Arial"/>
                <w:color w:val="000000"/>
                <w:sz w:val="20"/>
              </w:rPr>
            </w:pPr>
            <w:r w:rsidRPr="006816FD">
              <w:rPr>
                <w:rFonts w:ascii="Arial" w:hAnsi="Arial" w:cs="Arial"/>
                <w:color w:val="000000"/>
                <w:sz w:val="20"/>
              </w:rPr>
              <w:t xml:space="preserve">    Direct Investment Expenses</w:t>
            </w:r>
          </w:p>
        </w:tc>
        <w:tc>
          <w:tcPr>
            <w:tcW w:w="671" w:type="dxa"/>
            <w:tcBorders>
              <w:top w:val="nil"/>
              <w:left w:val="nil"/>
              <w:bottom w:val="nil"/>
              <w:right w:val="nil"/>
            </w:tcBorders>
            <w:shd w:val="clear" w:color="auto" w:fill="auto"/>
          </w:tcPr>
          <w:p w14:paraId="4D0AB668" w14:textId="77777777" w:rsidR="00A53901" w:rsidRPr="006816FD" w:rsidRDefault="00A53901">
            <w:pPr>
              <w:jc w:val="right"/>
              <w:rPr>
                <w:rFonts w:ascii="Arial" w:hAnsi="Arial" w:cs="Arial"/>
                <w:color w:val="000000"/>
                <w:sz w:val="20"/>
              </w:rPr>
            </w:pPr>
          </w:p>
        </w:tc>
        <w:tc>
          <w:tcPr>
            <w:tcW w:w="1440" w:type="dxa"/>
            <w:tcBorders>
              <w:top w:val="nil"/>
              <w:left w:val="nil"/>
              <w:right w:val="nil"/>
            </w:tcBorders>
          </w:tcPr>
          <w:p w14:paraId="2F0494F7" w14:textId="5DBEF533" w:rsidR="00A53901" w:rsidRPr="006816FD" w:rsidRDefault="00CE657E" w:rsidP="00E742A2">
            <w:pPr>
              <w:jc w:val="right"/>
              <w:rPr>
                <w:rFonts w:ascii="Arial" w:hAnsi="Arial" w:cs="Arial"/>
                <w:color w:val="000000"/>
                <w:sz w:val="20"/>
              </w:rPr>
            </w:pPr>
            <w:r w:rsidRPr="00CE657E">
              <w:rPr>
                <w:rFonts w:ascii="Arial" w:hAnsi="Arial" w:cs="Arial"/>
                <w:color w:val="000000"/>
                <w:sz w:val="20"/>
              </w:rPr>
              <w:t>(1,080,893)</w:t>
            </w:r>
          </w:p>
        </w:tc>
      </w:tr>
      <w:tr w:rsidR="00A53901" w:rsidRPr="006816FD" w14:paraId="14CB720A" w14:textId="77777777" w:rsidTr="006F0E2E">
        <w:trPr>
          <w:trHeight w:val="315"/>
          <w:jc w:val="center"/>
        </w:trPr>
        <w:tc>
          <w:tcPr>
            <w:tcW w:w="4721" w:type="dxa"/>
            <w:tcBorders>
              <w:top w:val="nil"/>
              <w:left w:val="nil"/>
              <w:bottom w:val="nil"/>
              <w:right w:val="nil"/>
            </w:tcBorders>
            <w:shd w:val="clear" w:color="auto" w:fill="auto"/>
          </w:tcPr>
          <w:p w14:paraId="188BAB00" w14:textId="77777777" w:rsidR="00A53901" w:rsidRPr="006816FD" w:rsidRDefault="00A53901">
            <w:pPr>
              <w:jc w:val="both"/>
              <w:rPr>
                <w:rFonts w:ascii="Arial" w:hAnsi="Arial" w:cs="Arial"/>
                <w:color w:val="000000"/>
                <w:sz w:val="20"/>
              </w:rPr>
            </w:pPr>
            <w:r w:rsidRPr="006816FD">
              <w:rPr>
                <w:rFonts w:ascii="Arial" w:hAnsi="Arial" w:cs="Arial"/>
                <w:color w:val="000000"/>
                <w:sz w:val="20"/>
              </w:rPr>
              <w:t xml:space="preserve">    Investment Consultants</w:t>
            </w:r>
          </w:p>
        </w:tc>
        <w:tc>
          <w:tcPr>
            <w:tcW w:w="671" w:type="dxa"/>
            <w:tcBorders>
              <w:top w:val="nil"/>
              <w:left w:val="nil"/>
              <w:bottom w:val="nil"/>
              <w:right w:val="nil"/>
            </w:tcBorders>
            <w:shd w:val="clear" w:color="auto" w:fill="auto"/>
          </w:tcPr>
          <w:p w14:paraId="412BEB94" w14:textId="77777777" w:rsidR="00A53901" w:rsidRPr="006816FD" w:rsidRDefault="00A53901">
            <w:pPr>
              <w:jc w:val="right"/>
              <w:rPr>
                <w:rFonts w:ascii="Arial" w:hAnsi="Arial" w:cs="Arial"/>
                <w:color w:val="000000"/>
                <w:sz w:val="20"/>
              </w:rPr>
            </w:pPr>
          </w:p>
        </w:tc>
        <w:tc>
          <w:tcPr>
            <w:tcW w:w="1440" w:type="dxa"/>
            <w:tcBorders>
              <w:top w:val="nil"/>
              <w:left w:val="nil"/>
              <w:bottom w:val="single" w:sz="4" w:space="0" w:color="auto"/>
              <w:right w:val="nil"/>
            </w:tcBorders>
          </w:tcPr>
          <w:p w14:paraId="4CF958AB" w14:textId="01D1A030" w:rsidR="00A53901" w:rsidRPr="006816FD" w:rsidRDefault="00CE657E" w:rsidP="00E742A2">
            <w:pPr>
              <w:jc w:val="right"/>
              <w:rPr>
                <w:rFonts w:ascii="Arial" w:hAnsi="Arial" w:cs="Arial"/>
                <w:color w:val="000000"/>
                <w:sz w:val="20"/>
              </w:rPr>
            </w:pPr>
            <w:r w:rsidRPr="00CE657E">
              <w:rPr>
                <w:rFonts w:ascii="Arial" w:hAnsi="Arial" w:cs="Arial"/>
                <w:color w:val="000000"/>
                <w:sz w:val="20"/>
              </w:rPr>
              <w:t>(181,127)</w:t>
            </w:r>
          </w:p>
        </w:tc>
      </w:tr>
      <w:tr w:rsidR="00A53901" w:rsidRPr="006816FD" w14:paraId="45A729E7" w14:textId="77777777" w:rsidTr="006F0E2E">
        <w:trPr>
          <w:trHeight w:val="179"/>
          <w:jc w:val="center"/>
        </w:trPr>
        <w:tc>
          <w:tcPr>
            <w:tcW w:w="4721" w:type="dxa"/>
            <w:tcBorders>
              <w:top w:val="nil"/>
              <w:left w:val="nil"/>
              <w:bottom w:val="nil"/>
              <w:right w:val="nil"/>
            </w:tcBorders>
            <w:shd w:val="clear" w:color="auto" w:fill="auto"/>
          </w:tcPr>
          <w:p w14:paraId="5BE29BE9" w14:textId="77777777" w:rsidR="00A53901" w:rsidRPr="006816FD" w:rsidRDefault="00A53901">
            <w:pPr>
              <w:jc w:val="both"/>
              <w:rPr>
                <w:rFonts w:ascii="Arial" w:hAnsi="Arial" w:cs="Arial"/>
                <w:color w:val="000000"/>
                <w:sz w:val="20"/>
              </w:rPr>
            </w:pPr>
          </w:p>
        </w:tc>
        <w:tc>
          <w:tcPr>
            <w:tcW w:w="671" w:type="dxa"/>
            <w:tcBorders>
              <w:top w:val="nil"/>
              <w:left w:val="nil"/>
              <w:bottom w:val="nil"/>
              <w:right w:val="nil"/>
            </w:tcBorders>
            <w:shd w:val="clear" w:color="auto" w:fill="auto"/>
          </w:tcPr>
          <w:p w14:paraId="1F840EEA" w14:textId="77777777" w:rsidR="00A53901" w:rsidRPr="006816FD" w:rsidRDefault="00A53901">
            <w:pPr>
              <w:jc w:val="right"/>
              <w:rPr>
                <w:rFonts w:ascii="Arial" w:hAnsi="Arial" w:cs="Arial"/>
                <w:color w:val="000000"/>
                <w:sz w:val="20"/>
              </w:rPr>
            </w:pPr>
          </w:p>
        </w:tc>
        <w:tc>
          <w:tcPr>
            <w:tcW w:w="1440" w:type="dxa"/>
            <w:tcBorders>
              <w:top w:val="single" w:sz="4" w:space="0" w:color="auto"/>
              <w:left w:val="nil"/>
              <w:right w:val="nil"/>
            </w:tcBorders>
          </w:tcPr>
          <w:p w14:paraId="283CF59C" w14:textId="77777777" w:rsidR="00A53901" w:rsidRPr="006816FD" w:rsidRDefault="00A53901" w:rsidP="006F3E09">
            <w:pPr>
              <w:jc w:val="right"/>
              <w:rPr>
                <w:rFonts w:ascii="Arial" w:hAnsi="Arial" w:cs="Arial"/>
                <w:color w:val="000000"/>
                <w:sz w:val="20"/>
              </w:rPr>
            </w:pPr>
          </w:p>
        </w:tc>
      </w:tr>
      <w:tr w:rsidR="00A53901" w:rsidRPr="006816FD" w14:paraId="690CD645" w14:textId="77777777" w:rsidTr="00317074">
        <w:trPr>
          <w:trHeight w:val="315"/>
          <w:jc w:val="center"/>
        </w:trPr>
        <w:tc>
          <w:tcPr>
            <w:tcW w:w="4721" w:type="dxa"/>
            <w:tcBorders>
              <w:top w:val="nil"/>
              <w:left w:val="nil"/>
              <w:bottom w:val="nil"/>
              <w:right w:val="nil"/>
            </w:tcBorders>
            <w:shd w:val="clear" w:color="auto" w:fill="auto"/>
          </w:tcPr>
          <w:p w14:paraId="38FF60A7" w14:textId="77777777" w:rsidR="00A53901" w:rsidRPr="006816FD" w:rsidRDefault="00A53901">
            <w:pPr>
              <w:jc w:val="both"/>
              <w:rPr>
                <w:rFonts w:ascii="Arial" w:hAnsi="Arial" w:cs="Arial"/>
                <w:b/>
                <w:color w:val="000000"/>
                <w:sz w:val="20"/>
              </w:rPr>
            </w:pPr>
            <w:r w:rsidRPr="006816FD">
              <w:rPr>
                <w:rFonts w:ascii="Arial" w:hAnsi="Arial" w:cs="Arial"/>
                <w:b/>
                <w:color w:val="000000"/>
                <w:sz w:val="20"/>
              </w:rPr>
              <w:t>Net Investment Income</w:t>
            </w:r>
          </w:p>
          <w:p w14:paraId="382BC96D" w14:textId="27CD8E96" w:rsidR="00E742A2" w:rsidRPr="006816FD" w:rsidRDefault="00A53901" w:rsidP="00ED1704">
            <w:pPr>
              <w:jc w:val="both"/>
              <w:rPr>
                <w:rFonts w:ascii="Arial" w:hAnsi="Arial" w:cs="Arial"/>
                <w:b/>
                <w:color w:val="000000"/>
                <w:sz w:val="20"/>
              </w:rPr>
            </w:pPr>
            <w:r w:rsidRPr="006816FD">
              <w:rPr>
                <w:rFonts w:ascii="Arial" w:hAnsi="Arial" w:cs="Arial"/>
                <w:b/>
                <w:color w:val="000000"/>
                <w:sz w:val="20"/>
              </w:rPr>
              <w:t>Other than Securities Lending</w:t>
            </w:r>
            <w:r w:rsidR="00ED1704">
              <w:rPr>
                <w:rFonts w:ascii="Arial" w:hAnsi="Arial" w:cs="Arial"/>
                <w:b/>
                <w:color w:val="000000"/>
                <w:sz w:val="20"/>
              </w:rPr>
              <w:t xml:space="preserve">                                                              </w:t>
            </w:r>
          </w:p>
        </w:tc>
        <w:tc>
          <w:tcPr>
            <w:tcW w:w="671" w:type="dxa"/>
            <w:tcBorders>
              <w:top w:val="nil"/>
              <w:left w:val="nil"/>
              <w:bottom w:val="nil"/>
              <w:right w:val="nil"/>
            </w:tcBorders>
            <w:shd w:val="clear" w:color="auto" w:fill="auto"/>
          </w:tcPr>
          <w:p w14:paraId="02DB1D83" w14:textId="77777777" w:rsidR="00A53901" w:rsidRPr="006816FD" w:rsidRDefault="00A53901">
            <w:pPr>
              <w:jc w:val="right"/>
              <w:rPr>
                <w:rFonts w:ascii="Arial" w:hAnsi="Arial" w:cs="Arial"/>
                <w:color w:val="000000"/>
                <w:sz w:val="20"/>
              </w:rPr>
            </w:pPr>
          </w:p>
        </w:tc>
        <w:tc>
          <w:tcPr>
            <w:tcW w:w="1440" w:type="dxa"/>
            <w:tcBorders>
              <w:left w:val="nil"/>
              <w:bottom w:val="single" w:sz="4" w:space="0" w:color="auto"/>
              <w:right w:val="nil"/>
            </w:tcBorders>
            <w:vAlign w:val="bottom"/>
          </w:tcPr>
          <w:p w14:paraId="2B07E5EF" w14:textId="61FB122C" w:rsidR="00A53901" w:rsidRPr="006816FD" w:rsidRDefault="00CE657E" w:rsidP="00317074">
            <w:pPr>
              <w:jc w:val="right"/>
              <w:rPr>
                <w:rFonts w:ascii="Arial" w:hAnsi="Arial" w:cs="Arial"/>
                <w:color w:val="000000"/>
                <w:sz w:val="20"/>
              </w:rPr>
            </w:pPr>
            <w:r w:rsidRPr="00CE657E">
              <w:rPr>
                <w:rFonts w:ascii="Arial" w:hAnsi="Arial" w:cs="Arial"/>
                <w:color w:val="000000"/>
                <w:sz w:val="20"/>
              </w:rPr>
              <w:t>56,187,453</w:t>
            </w:r>
          </w:p>
        </w:tc>
      </w:tr>
      <w:tr w:rsidR="00A53901" w:rsidRPr="006816FD" w14:paraId="61BCA62B" w14:textId="77777777" w:rsidTr="006F0E2E">
        <w:trPr>
          <w:trHeight w:val="125"/>
          <w:jc w:val="center"/>
        </w:trPr>
        <w:tc>
          <w:tcPr>
            <w:tcW w:w="4721" w:type="dxa"/>
            <w:tcBorders>
              <w:top w:val="nil"/>
              <w:left w:val="nil"/>
              <w:bottom w:val="nil"/>
              <w:right w:val="nil"/>
            </w:tcBorders>
            <w:shd w:val="clear" w:color="auto" w:fill="auto"/>
          </w:tcPr>
          <w:p w14:paraId="2C84FABF" w14:textId="77777777" w:rsidR="00A53901" w:rsidRPr="006816FD" w:rsidRDefault="00A53901">
            <w:pPr>
              <w:jc w:val="both"/>
              <w:rPr>
                <w:rFonts w:ascii="Arial" w:hAnsi="Arial" w:cs="Arial"/>
                <w:color w:val="000000"/>
                <w:sz w:val="20"/>
              </w:rPr>
            </w:pPr>
          </w:p>
        </w:tc>
        <w:tc>
          <w:tcPr>
            <w:tcW w:w="671" w:type="dxa"/>
            <w:tcBorders>
              <w:top w:val="nil"/>
              <w:left w:val="nil"/>
              <w:bottom w:val="nil"/>
              <w:right w:val="nil"/>
            </w:tcBorders>
            <w:shd w:val="clear" w:color="auto" w:fill="auto"/>
          </w:tcPr>
          <w:p w14:paraId="04943786" w14:textId="77777777" w:rsidR="00A53901" w:rsidRPr="006816FD" w:rsidRDefault="00A53901">
            <w:pPr>
              <w:jc w:val="right"/>
              <w:rPr>
                <w:rFonts w:ascii="Arial" w:hAnsi="Arial" w:cs="Arial"/>
                <w:color w:val="000000"/>
                <w:sz w:val="20"/>
              </w:rPr>
            </w:pPr>
          </w:p>
        </w:tc>
        <w:tc>
          <w:tcPr>
            <w:tcW w:w="1440" w:type="dxa"/>
            <w:tcBorders>
              <w:top w:val="single" w:sz="4" w:space="0" w:color="auto"/>
              <w:left w:val="nil"/>
              <w:right w:val="nil"/>
            </w:tcBorders>
          </w:tcPr>
          <w:p w14:paraId="4522C3C1" w14:textId="77777777" w:rsidR="00A53901" w:rsidRPr="006816FD" w:rsidRDefault="00A53901" w:rsidP="006F3E09">
            <w:pPr>
              <w:jc w:val="right"/>
              <w:rPr>
                <w:rFonts w:ascii="Arial" w:hAnsi="Arial" w:cs="Arial"/>
                <w:color w:val="000000"/>
                <w:sz w:val="20"/>
              </w:rPr>
            </w:pPr>
          </w:p>
        </w:tc>
      </w:tr>
      <w:tr w:rsidR="00A53901" w:rsidRPr="006816FD" w14:paraId="763E1849" w14:textId="77777777" w:rsidTr="00317074">
        <w:trPr>
          <w:trHeight w:val="315"/>
          <w:jc w:val="center"/>
        </w:trPr>
        <w:tc>
          <w:tcPr>
            <w:tcW w:w="4721" w:type="dxa"/>
            <w:tcBorders>
              <w:top w:val="nil"/>
              <w:left w:val="nil"/>
              <w:bottom w:val="nil"/>
              <w:right w:val="nil"/>
            </w:tcBorders>
            <w:shd w:val="clear" w:color="auto" w:fill="auto"/>
          </w:tcPr>
          <w:p w14:paraId="1D3F9E68" w14:textId="28821D7C" w:rsidR="00A53901" w:rsidRPr="006816FD" w:rsidRDefault="00A53901" w:rsidP="00ED1704">
            <w:pPr>
              <w:jc w:val="both"/>
              <w:rPr>
                <w:rFonts w:ascii="Arial" w:hAnsi="Arial" w:cs="Arial"/>
                <w:color w:val="000000"/>
                <w:sz w:val="20"/>
              </w:rPr>
            </w:pPr>
            <w:r w:rsidRPr="006816FD">
              <w:rPr>
                <w:rFonts w:ascii="Arial" w:hAnsi="Arial" w:cs="Arial"/>
                <w:color w:val="000000"/>
                <w:sz w:val="20"/>
              </w:rPr>
              <w:t>Securities Lending Income</w:t>
            </w:r>
          </w:p>
        </w:tc>
        <w:tc>
          <w:tcPr>
            <w:tcW w:w="671" w:type="dxa"/>
            <w:tcBorders>
              <w:top w:val="nil"/>
              <w:left w:val="nil"/>
              <w:bottom w:val="nil"/>
              <w:right w:val="nil"/>
            </w:tcBorders>
            <w:shd w:val="clear" w:color="auto" w:fill="auto"/>
          </w:tcPr>
          <w:p w14:paraId="2CACCD01" w14:textId="77777777" w:rsidR="00A53901" w:rsidRPr="006816FD" w:rsidRDefault="00A53901">
            <w:pPr>
              <w:jc w:val="right"/>
              <w:rPr>
                <w:rFonts w:ascii="Arial" w:hAnsi="Arial" w:cs="Arial"/>
                <w:color w:val="000000"/>
                <w:sz w:val="20"/>
              </w:rPr>
            </w:pPr>
          </w:p>
        </w:tc>
        <w:tc>
          <w:tcPr>
            <w:tcW w:w="1440" w:type="dxa"/>
            <w:tcBorders>
              <w:left w:val="nil"/>
              <w:right w:val="nil"/>
            </w:tcBorders>
            <w:vAlign w:val="bottom"/>
          </w:tcPr>
          <w:p w14:paraId="7C41754D" w14:textId="77F51FCA" w:rsidR="00A53901" w:rsidRPr="006816FD" w:rsidRDefault="00CE657E" w:rsidP="00317074">
            <w:pPr>
              <w:jc w:val="right"/>
              <w:rPr>
                <w:rFonts w:ascii="Arial" w:hAnsi="Arial" w:cs="Arial"/>
                <w:color w:val="000000"/>
                <w:sz w:val="20"/>
              </w:rPr>
            </w:pPr>
            <w:r w:rsidRPr="00CE657E">
              <w:rPr>
                <w:rFonts w:ascii="Arial" w:hAnsi="Arial" w:cs="Arial"/>
                <w:color w:val="000000"/>
                <w:sz w:val="20"/>
              </w:rPr>
              <w:t>42,455</w:t>
            </w:r>
          </w:p>
        </w:tc>
      </w:tr>
      <w:tr w:rsidR="00A53901" w:rsidRPr="006816FD" w14:paraId="506CCD4E" w14:textId="77777777" w:rsidTr="006F0E2E">
        <w:trPr>
          <w:trHeight w:val="315"/>
          <w:jc w:val="center"/>
        </w:trPr>
        <w:tc>
          <w:tcPr>
            <w:tcW w:w="4721" w:type="dxa"/>
            <w:tcBorders>
              <w:top w:val="nil"/>
              <w:left w:val="nil"/>
              <w:bottom w:val="nil"/>
              <w:right w:val="nil"/>
            </w:tcBorders>
            <w:shd w:val="clear" w:color="auto" w:fill="auto"/>
          </w:tcPr>
          <w:p w14:paraId="4736988A" w14:textId="22B1ED8C" w:rsidR="00A53901" w:rsidRPr="006816FD" w:rsidRDefault="00A53901" w:rsidP="00ED1704">
            <w:pPr>
              <w:jc w:val="both"/>
              <w:rPr>
                <w:rFonts w:ascii="Arial" w:hAnsi="Arial" w:cs="Arial"/>
                <w:color w:val="000000"/>
                <w:sz w:val="20"/>
              </w:rPr>
            </w:pPr>
            <w:r w:rsidRPr="006816FD">
              <w:rPr>
                <w:rFonts w:ascii="Arial" w:hAnsi="Arial" w:cs="Arial"/>
                <w:color w:val="000000"/>
                <w:sz w:val="20"/>
              </w:rPr>
              <w:t>Less Securities Lending Expense</w:t>
            </w:r>
          </w:p>
        </w:tc>
        <w:tc>
          <w:tcPr>
            <w:tcW w:w="671" w:type="dxa"/>
            <w:tcBorders>
              <w:top w:val="nil"/>
              <w:left w:val="nil"/>
              <w:bottom w:val="nil"/>
              <w:right w:val="nil"/>
            </w:tcBorders>
            <w:shd w:val="clear" w:color="auto" w:fill="auto"/>
          </w:tcPr>
          <w:p w14:paraId="1486AEE4" w14:textId="77777777" w:rsidR="00A53901" w:rsidRPr="006816FD" w:rsidRDefault="00A53901">
            <w:pPr>
              <w:jc w:val="right"/>
              <w:rPr>
                <w:rFonts w:ascii="Arial" w:hAnsi="Arial" w:cs="Arial"/>
                <w:color w:val="000000"/>
                <w:sz w:val="20"/>
              </w:rPr>
            </w:pPr>
          </w:p>
        </w:tc>
        <w:tc>
          <w:tcPr>
            <w:tcW w:w="1440" w:type="dxa"/>
            <w:tcBorders>
              <w:left w:val="nil"/>
              <w:bottom w:val="single" w:sz="4" w:space="0" w:color="auto"/>
              <w:right w:val="nil"/>
            </w:tcBorders>
          </w:tcPr>
          <w:p w14:paraId="0DF0229E" w14:textId="11D17841" w:rsidR="00A53901" w:rsidRPr="006816FD" w:rsidRDefault="00CE657E" w:rsidP="00E742A2">
            <w:pPr>
              <w:jc w:val="right"/>
              <w:rPr>
                <w:rFonts w:ascii="Arial" w:hAnsi="Arial" w:cs="Arial"/>
                <w:color w:val="000000"/>
                <w:sz w:val="20"/>
              </w:rPr>
            </w:pPr>
            <w:r w:rsidRPr="00CE657E">
              <w:rPr>
                <w:rFonts w:ascii="Arial" w:hAnsi="Arial" w:cs="Arial"/>
                <w:color w:val="000000"/>
                <w:sz w:val="20"/>
              </w:rPr>
              <w:t>(14,844)</w:t>
            </w:r>
          </w:p>
        </w:tc>
      </w:tr>
      <w:tr w:rsidR="004A2661" w:rsidRPr="006816FD" w14:paraId="32DAD438" w14:textId="77777777" w:rsidTr="006F0E2E">
        <w:trPr>
          <w:trHeight w:val="315"/>
          <w:jc w:val="center"/>
        </w:trPr>
        <w:tc>
          <w:tcPr>
            <w:tcW w:w="4721" w:type="dxa"/>
            <w:tcBorders>
              <w:top w:val="nil"/>
              <w:left w:val="nil"/>
              <w:bottom w:val="nil"/>
              <w:right w:val="nil"/>
            </w:tcBorders>
            <w:shd w:val="clear" w:color="auto" w:fill="auto"/>
            <w:hideMark/>
          </w:tcPr>
          <w:p w14:paraId="613BD274" w14:textId="77777777" w:rsidR="00ED1704" w:rsidRDefault="00ED1704">
            <w:pPr>
              <w:jc w:val="both"/>
              <w:rPr>
                <w:rFonts w:ascii="Arial" w:hAnsi="Arial" w:cs="Arial"/>
                <w:b/>
                <w:color w:val="000000"/>
                <w:sz w:val="20"/>
              </w:rPr>
            </w:pPr>
          </w:p>
          <w:p w14:paraId="790D153B" w14:textId="77777777" w:rsidR="004A2661" w:rsidRPr="006816FD" w:rsidRDefault="00A53901">
            <w:pPr>
              <w:jc w:val="both"/>
              <w:rPr>
                <w:rFonts w:ascii="Arial" w:hAnsi="Arial" w:cs="Arial"/>
                <w:b/>
                <w:color w:val="000000"/>
                <w:sz w:val="20"/>
              </w:rPr>
            </w:pPr>
            <w:r w:rsidRPr="006816FD">
              <w:rPr>
                <w:rFonts w:ascii="Arial" w:hAnsi="Arial" w:cs="Arial"/>
                <w:b/>
                <w:color w:val="000000"/>
                <w:sz w:val="20"/>
              </w:rPr>
              <w:t>Net Securities Lending Income</w:t>
            </w:r>
          </w:p>
        </w:tc>
        <w:tc>
          <w:tcPr>
            <w:tcW w:w="671" w:type="dxa"/>
            <w:tcBorders>
              <w:top w:val="nil"/>
              <w:left w:val="nil"/>
              <w:bottom w:val="nil"/>
              <w:right w:val="nil"/>
            </w:tcBorders>
            <w:shd w:val="clear" w:color="auto" w:fill="auto"/>
            <w:hideMark/>
          </w:tcPr>
          <w:p w14:paraId="05F467DB" w14:textId="77777777" w:rsidR="004A2661" w:rsidRPr="006816FD" w:rsidRDefault="004A2661">
            <w:pPr>
              <w:jc w:val="right"/>
              <w:rPr>
                <w:rFonts w:ascii="Arial" w:hAnsi="Arial" w:cs="Arial"/>
                <w:color w:val="000000"/>
                <w:sz w:val="20"/>
              </w:rPr>
            </w:pPr>
          </w:p>
        </w:tc>
        <w:tc>
          <w:tcPr>
            <w:tcW w:w="1440" w:type="dxa"/>
            <w:tcBorders>
              <w:top w:val="single" w:sz="4" w:space="0" w:color="auto"/>
              <w:left w:val="nil"/>
              <w:bottom w:val="single" w:sz="4" w:space="0" w:color="auto"/>
              <w:right w:val="nil"/>
            </w:tcBorders>
          </w:tcPr>
          <w:p w14:paraId="4F059976" w14:textId="77777777" w:rsidR="00ED1704" w:rsidRDefault="00ED1704" w:rsidP="006F3E09">
            <w:pPr>
              <w:jc w:val="right"/>
              <w:rPr>
                <w:rFonts w:ascii="Arial" w:hAnsi="Arial" w:cs="Arial"/>
                <w:color w:val="000000"/>
                <w:sz w:val="20"/>
              </w:rPr>
            </w:pPr>
          </w:p>
          <w:p w14:paraId="0C40F3EF" w14:textId="2BFF106F" w:rsidR="004A2661" w:rsidRPr="006816FD" w:rsidRDefault="00CE657E" w:rsidP="006F3E09">
            <w:pPr>
              <w:jc w:val="right"/>
              <w:rPr>
                <w:rFonts w:ascii="Arial" w:hAnsi="Arial" w:cs="Arial"/>
                <w:color w:val="000000"/>
                <w:sz w:val="20"/>
              </w:rPr>
            </w:pPr>
            <w:r w:rsidRPr="00CE657E">
              <w:rPr>
                <w:rFonts w:ascii="Arial" w:hAnsi="Arial" w:cs="Arial"/>
                <w:color w:val="000000"/>
                <w:sz w:val="20"/>
              </w:rPr>
              <w:t>27,611</w:t>
            </w:r>
          </w:p>
        </w:tc>
      </w:tr>
      <w:tr w:rsidR="00A53901" w:rsidRPr="006816FD" w14:paraId="09A4607A" w14:textId="77777777" w:rsidTr="006F0E2E">
        <w:trPr>
          <w:trHeight w:val="161"/>
          <w:jc w:val="center"/>
        </w:trPr>
        <w:tc>
          <w:tcPr>
            <w:tcW w:w="4721" w:type="dxa"/>
            <w:tcBorders>
              <w:top w:val="nil"/>
              <w:left w:val="nil"/>
              <w:bottom w:val="nil"/>
              <w:right w:val="nil"/>
            </w:tcBorders>
            <w:shd w:val="clear" w:color="auto" w:fill="auto"/>
          </w:tcPr>
          <w:p w14:paraId="100C2B42" w14:textId="77777777" w:rsidR="00A53901" w:rsidRPr="006816FD" w:rsidRDefault="00A53901">
            <w:pPr>
              <w:jc w:val="both"/>
              <w:rPr>
                <w:rFonts w:ascii="Arial" w:hAnsi="Arial" w:cs="Arial"/>
                <w:color w:val="000000"/>
                <w:sz w:val="20"/>
              </w:rPr>
            </w:pPr>
          </w:p>
        </w:tc>
        <w:tc>
          <w:tcPr>
            <w:tcW w:w="671" w:type="dxa"/>
            <w:tcBorders>
              <w:top w:val="nil"/>
              <w:left w:val="nil"/>
              <w:bottom w:val="nil"/>
              <w:right w:val="nil"/>
            </w:tcBorders>
            <w:shd w:val="clear" w:color="auto" w:fill="auto"/>
          </w:tcPr>
          <w:p w14:paraId="3DE43E52" w14:textId="77777777" w:rsidR="00A53901" w:rsidRPr="006816FD" w:rsidRDefault="00A53901">
            <w:pPr>
              <w:jc w:val="right"/>
              <w:rPr>
                <w:rFonts w:ascii="Arial" w:hAnsi="Arial" w:cs="Arial"/>
                <w:color w:val="000000"/>
                <w:sz w:val="20"/>
              </w:rPr>
            </w:pPr>
          </w:p>
        </w:tc>
        <w:tc>
          <w:tcPr>
            <w:tcW w:w="1440" w:type="dxa"/>
            <w:tcBorders>
              <w:top w:val="single" w:sz="4" w:space="0" w:color="auto"/>
              <w:left w:val="nil"/>
              <w:bottom w:val="nil"/>
              <w:right w:val="nil"/>
            </w:tcBorders>
          </w:tcPr>
          <w:p w14:paraId="7837A43B" w14:textId="77777777" w:rsidR="00A53901" w:rsidRPr="006816FD" w:rsidRDefault="00A53901" w:rsidP="006F3E09">
            <w:pPr>
              <w:jc w:val="right"/>
              <w:rPr>
                <w:rFonts w:ascii="Arial" w:hAnsi="Arial" w:cs="Arial"/>
                <w:color w:val="000000"/>
                <w:sz w:val="20"/>
              </w:rPr>
            </w:pPr>
          </w:p>
        </w:tc>
      </w:tr>
      <w:tr w:rsidR="004A2661" w:rsidRPr="006816FD" w14:paraId="5FBA2133" w14:textId="77777777" w:rsidTr="006F0E2E">
        <w:trPr>
          <w:trHeight w:val="300"/>
          <w:jc w:val="center"/>
        </w:trPr>
        <w:tc>
          <w:tcPr>
            <w:tcW w:w="4721" w:type="dxa"/>
            <w:tcBorders>
              <w:top w:val="nil"/>
              <w:left w:val="nil"/>
              <w:bottom w:val="nil"/>
              <w:right w:val="nil"/>
            </w:tcBorders>
            <w:shd w:val="clear" w:color="auto" w:fill="auto"/>
            <w:hideMark/>
          </w:tcPr>
          <w:p w14:paraId="0215D14F" w14:textId="77777777" w:rsidR="004A2661" w:rsidRPr="006816FD" w:rsidRDefault="004A2661">
            <w:pPr>
              <w:jc w:val="both"/>
              <w:rPr>
                <w:rFonts w:ascii="Arial" w:hAnsi="Arial" w:cs="Arial"/>
                <w:color w:val="000000"/>
                <w:sz w:val="20"/>
              </w:rPr>
            </w:pPr>
            <w:r w:rsidRPr="006816FD">
              <w:rPr>
                <w:rFonts w:ascii="Arial" w:hAnsi="Arial" w:cs="Arial"/>
                <w:color w:val="000000"/>
                <w:sz w:val="20"/>
              </w:rPr>
              <w:t>Contributions:</w:t>
            </w:r>
          </w:p>
        </w:tc>
        <w:tc>
          <w:tcPr>
            <w:tcW w:w="671" w:type="dxa"/>
            <w:tcBorders>
              <w:top w:val="nil"/>
              <w:left w:val="nil"/>
              <w:bottom w:val="nil"/>
              <w:right w:val="nil"/>
            </w:tcBorders>
            <w:shd w:val="clear" w:color="auto" w:fill="auto"/>
            <w:hideMark/>
          </w:tcPr>
          <w:p w14:paraId="1A0B84E4" w14:textId="77777777" w:rsidR="004A2661" w:rsidRPr="006816FD" w:rsidRDefault="004A2661">
            <w:pPr>
              <w:jc w:val="right"/>
              <w:rPr>
                <w:rFonts w:ascii="Arial" w:hAnsi="Arial" w:cs="Arial"/>
                <w:color w:val="000000"/>
                <w:sz w:val="20"/>
              </w:rPr>
            </w:pPr>
          </w:p>
        </w:tc>
        <w:tc>
          <w:tcPr>
            <w:tcW w:w="1440" w:type="dxa"/>
            <w:tcBorders>
              <w:top w:val="nil"/>
              <w:left w:val="nil"/>
              <w:bottom w:val="nil"/>
              <w:right w:val="nil"/>
            </w:tcBorders>
          </w:tcPr>
          <w:p w14:paraId="46F5D35B" w14:textId="77777777" w:rsidR="004A2661" w:rsidRPr="006816FD" w:rsidRDefault="004A2661" w:rsidP="006F3E09">
            <w:pPr>
              <w:jc w:val="right"/>
              <w:rPr>
                <w:rFonts w:ascii="Arial" w:hAnsi="Arial" w:cs="Arial"/>
                <w:color w:val="000000"/>
                <w:sz w:val="20"/>
              </w:rPr>
            </w:pPr>
          </w:p>
        </w:tc>
      </w:tr>
      <w:tr w:rsidR="004A2661" w:rsidRPr="006816FD" w14:paraId="3CDEF531" w14:textId="77777777" w:rsidTr="006F0E2E">
        <w:trPr>
          <w:trHeight w:val="300"/>
          <w:jc w:val="center"/>
        </w:trPr>
        <w:tc>
          <w:tcPr>
            <w:tcW w:w="4721" w:type="dxa"/>
            <w:tcBorders>
              <w:top w:val="nil"/>
              <w:left w:val="nil"/>
              <w:bottom w:val="nil"/>
              <w:right w:val="nil"/>
            </w:tcBorders>
            <w:shd w:val="clear" w:color="auto" w:fill="auto"/>
            <w:hideMark/>
          </w:tcPr>
          <w:p w14:paraId="029884E3" w14:textId="77777777" w:rsidR="004A2661" w:rsidRPr="006816FD" w:rsidRDefault="004A2661">
            <w:pPr>
              <w:jc w:val="both"/>
              <w:rPr>
                <w:rFonts w:ascii="Arial" w:hAnsi="Arial" w:cs="Arial"/>
                <w:color w:val="000000"/>
                <w:sz w:val="20"/>
              </w:rPr>
            </w:pPr>
            <w:r w:rsidRPr="006816FD">
              <w:rPr>
                <w:rFonts w:ascii="Arial" w:hAnsi="Arial" w:cs="Arial"/>
                <w:color w:val="000000"/>
                <w:sz w:val="20"/>
              </w:rPr>
              <w:t xml:space="preserve">    Employer </w:t>
            </w:r>
          </w:p>
        </w:tc>
        <w:tc>
          <w:tcPr>
            <w:tcW w:w="671" w:type="dxa"/>
            <w:tcBorders>
              <w:top w:val="nil"/>
              <w:left w:val="nil"/>
              <w:bottom w:val="nil"/>
              <w:right w:val="nil"/>
            </w:tcBorders>
            <w:shd w:val="clear" w:color="auto" w:fill="auto"/>
            <w:hideMark/>
          </w:tcPr>
          <w:p w14:paraId="302EA666" w14:textId="77777777" w:rsidR="004A2661" w:rsidRPr="006816FD" w:rsidRDefault="004A2661">
            <w:pPr>
              <w:jc w:val="right"/>
              <w:rPr>
                <w:rFonts w:ascii="Arial" w:hAnsi="Arial" w:cs="Arial"/>
                <w:color w:val="000000"/>
                <w:sz w:val="20"/>
              </w:rPr>
            </w:pPr>
          </w:p>
        </w:tc>
        <w:tc>
          <w:tcPr>
            <w:tcW w:w="1440" w:type="dxa"/>
            <w:tcBorders>
              <w:top w:val="nil"/>
              <w:left w:val="nil"/>
              <w:bottom w:val="nil"/>
              <w:right w:val="nil"/>
            </w:tcBorders>
          </w:tcPr>
          <w:p w14:paraId="08B257CC" w14:textId="73263C5A" w:rsidR="004A2661" w:rsidRPr="006816FD" w:rsidRDefault="00CE657E" w:rsidP="00EF6130">
            <w:pPr>
              <w:jc w:val="right"/>
              <w:rPr>
                <w:rFonts w:ascii="Arial" w:hAnsi="Arial" w:cs="Arial"/>
                <w:color w:val="000000"/>
                <w:sz w:val="20"/>
              </w:rPr>
            </w:pPr>
            <w:r w:rsidRPr="00CE657E">
              <w:rPr>
                <w:rFonts w:ascii="Arial" w:hAnsi="Arial" w:cs="Arial"/>
                <w:color w:val="000000"/>
                <w:sz w:val="20"/>
              </w:rPr>
              <w:t>15,628,503</w:t>
            </w:r>
          </w:p>
        </w:tc>
      </w:tr>
      <w:tr w:rsidR="004A2661" w:rsidRPr="006816FD" w14:paraId="0B2D5DA3" w14:textId="77777777" w:rsidTr="006F0E2E">
        <w:trPr>
          <w:trHeight w:val="315"/>
          <w:jc w:val="center"/>
        </w:trPr>
        <w:tc>
          <w:tcPr>
            <w:tcW w:w="4721" w:type="dxa"/>
            <w:tcBorders>
              <w:top w:val="nil"/>
              <w:left w:val="nil"/>
              <w:bottom w:val="nil"/>
              <w:right w:val="nil"/>
            </w:tcBorders>
            <w:shd w:val="clear" w:color="auto" w:fill="auto"/>
            <w:hideMark/>
          </w:tcPr>
          <w:p w14:paraId="50712899" w14:textId="77777777" w:rsidR="004A2661" w:rsidRPr="006816FD" w:rsidRDefault="004A2661">
            <w:pPr>
              <w:jc w:val="both"/>
              <w:rPr>
                <w:rFonts w:ascii="Arial" w:hAnsi="Arial" w:cs="Arial"/>
                <w:color w:val="000000"/>
                <w:sz w:val="20"/>
              </w:rPr>
            </w:pPr>
            <w:r w:rsidRPr="006816FD">
              <w:rPr>
                <w:rFonts w:ascii="Arial" w:hAnsi="Arial" w:cs="Arial"/>
                <w:color w:val="000000"/>
                <w:sz w:val="20"/>
              </w:rPr>
              <w:t xml:space="preserve">    Plan Participants </w:t>
            </w:r>
          </w:p>
        </w:tc>
        <w:tc>
          <w:tcPr>
            <w:tcW w:w="671" w:type="dxa"/>
            <w:tcBorders>
              <w:top w:val="nil"/>
              <w:left w:val="nil"/>
              <w:bottom w:val="nil"/>
              <w:right w:val="nil"/>
            </w:tcBorders>
            <w:shd w:val="clear" w:color="auto" w:fill="auto"/>
            <w:hideMark/>
          </w:tcPr>
          <w:p w14:paraId="202F6095" w14:textId="77777777" w:rsidR="004A2661" w:rsidRPr="006816FD" w:rsidRDefault="004A2661">
            <w:pPr>
              <w:jc w:val="right"/>
              <w:rPr>
                <w:rFonts w:ascii="Arial" w:hAnsi="Arial" w:cs="Arial"/>
                <w:color w:val="000000"/>
                <w:sz w:val="20"/>
              </w:rPr>
            </w:pPr>
          </w:p>
        </w:tc>
        <w:tc>
          <w:tcPr>
            <w:tcW w:w="1440" w:type="dxa"/>
            <w:tcBorders>
              <w:top w:val="nil"/>
              <w:left w:val="nil"/>
              <w:bottom w:val="single" w:sz="8" w:space="0" w:color="auto"/>
              <w:right w:val="nil"/>
            </w:tcBorders>
          </w:tcPr>
          <w:p w14:paraId="5498F64A" w14:textId="1CE63438" w:rsidR="004A2661" w:rsidRPr="006816FD" w:rsidRDefault="00CE657E" w:rsidP="00EF6130">
            <w:pPr>
              <w:jc w:val="right"/>
              <w:rPr>
                <w:rFonts w:ascii="Arial" w:hAnsi="Arial" w:cs="Arial"/>
                <w:color w:val="000000"/>
                <w:sz w:val="20"/>
              </w:rPr>
            </w:pPr>
            <w:r w:rsidRPr="00CE657E">
              <w:rPr>
                <w:rFonts w:ascii="Arial" w:hAnsi="Arial" w:cs="Arial"/>
                <w:color w:val="000000"/>
                <w:sz w:val="20"/>
              </w:rPr>
              <w:t>1,795,672</w:t>
            </w:r>
          </w:p>
        </w:tc>
      </w:tr>
      <w:tr w:rsidR="004A2661" w:rsidRPr="006816FD" w14:paraId="2DA56D2A" w14:textId="77777777" w:rsidTr="006F0E2E">
        <w:trPr>
          <w:trHeight w:val="315"/>
          <w:jc w:val="center"/>
        </w:trPr>
        <w:tc>
          <w:tcPr>
            <w:tcW w:w="4721" w:type="dxa"/>
            <w:tcBorders>
              <w:top w:val="nil"/>
              <w:left w:val="nil"/>
              <w:bottom w:val="nil"/>
              <w:right w:val="nil"/>
            </w:tcBorders>
            <w:shd w:val="clear" w:color="auto" w:fill="auto"/>
            <w:hideMark/>
          </w:tcPr>
          <w:p w14:paraId="666DE724" w14:textId="77777777" w:rsidR="004A2661" w:rsidRPr="006816FD" w:rsidRDefault="004A2661">
            <w:pPr>
              <w:jc w:val="both"/>
              <w:rPr>
                <w:rFonts w:ascii="Arial" w:hAnsi="Arial" w:cs="Arial"/>
                <w:color w:val="000000"/>
                <w:sz w:val="20"/>
              </w:rPr>
            </w:pPr>
          </w:p>
        </w:tc>
        <w:tc>
          <w:tcPr>
            <w:tcW w:w="671" w:type="dxa"/>
            <w:tcBorders>
              <w:top w:val="nil"/>
              <w:left w:val="nil"/>
              <w:bottom w:val="nil"/>
              <w:right w:val="nil"/>
            </w:tcBorders>
            <w:shd w:val="clear" w:color="auto" w:fill="auto"/>
            <w:hideMark/>
          </w:tcPr>
          <w:p w14:paraId="2149415F" w14:textId="77777777" w:rsidR="004A2661" w:rsidRPr="006816FD" w:rsidRDefault="004A2661">
            <w:pPr>
              <w:jc w:val="right"/>
              <w:rPr>
                <w:rFonts w:ascii="Arial" w:hAnsi="Arial" w:cs="Arial"/>
                <w:color w:val="000000"/>
                <w:sz w:val="20"/>
              </w:rPr>
            </w:pPr>
          </w:p>
        </w:tc>
        <w:tc>
          <w:tcPr>
            <w:tcW w:w="1440" w:type="dxa"/>
            <w:tcBorders>
              <w:top w:val="nil"/>
              <w:left w:val="nil"/>
              <w:bottom w:val="single" w:sz="8" w:space="0" w:color="auto"/>
              <w:right w:val="nil"/>
            </w:tcBorders>
          </w:tcPr>
          <w:p w14:paraId="24DD1E3C" w14:textId="77777777" w:rsidR="00ED1704" w:rsidRDefault="00ED1704" w:rsidP="00EF6130">
            <w:pPr>
              <w:jc w:val="right"/>
              <w:rPr>
                <w:rFonts w:ascii="Arial" w:hAnsi="Arial" w:cs="Arial"/>
                <w:color w:val="000000"/>
                <w:sz w:val="20"/>
              </w:rPr>
            </w:pPr>
          </w:p>
          <w:p w14:paraId="125DA591" w14:textId="466E14FF" w:rsidR="004A2661" w:rsidRPr="006816FD" w:rsidRDefault="00CE657E" w:rsidP="00EF6130">
            <w:pPr>
              <w:jc w:val="right"/>
              <w:rPr>
                <w:rFonts w:ascii="Arial" w:hAnsi="Arial" w:cs="Arial"/>
                <w:color w:val="000000"/>
                <w:sz w:val="20"/>
              </w:rPr>
            </w:pPr>
            <w:r w:rsidRPr="00CE657E">
              <w:rPr>
                <w:rFonts w:ascii="Arial" w:hAnsi="Arial" w:cs="Arial"/>
                <w:color w:val="000000"/>
                <w:sz w:val="20"/>
              </w:rPr>
              <w:t>17,424,175</w:t>
            </w:r>
          </w:p>
        </w:tc>
      </w:tr>
      <w:tr w:rsidR="006B7017" w:rsidRPr="006816FD" w14:paraId="657D008A" w14:textId="77777777" w:rsidTr="006F0E2E">
        <w:trPr>
          <w:trHeight w:val="79"/>
          <w:jc w:val="center"/>
        </w:trPr>
        <w:tc>
          <w:tcPr>
            <w:tcW w:w="4721" w:type="dxa"/>
            <w:tcBorders>
              <w:top w:val="nil"/>
              <w:left w:val="nil"/>
              <w:bottom w:val="nil"/>
              <w:right w:val="nil"/>
            </w:tcBorders>
            <w:shd w:val="clear" w:color="auto" w:fill="auto"/>
          </w:tcPr>
          <w:p w14:paraId="3E59B4A8" w14:textId="77777777" w:rsidR="006B7017" w:rsidRPr="006816FD" w:rsidRDefault="006B7017">
            <w:pPr>
              <w:jc w:val="both"/>
              <w:rPr>
                <w:rFonts w:ascii="Arial" w:hAnsi="Arial" w:cs="Arial"/>
                <w:color w:val="000000"/>
                <w:sz w:val="20"/>
              </w:rPr>
            </w:pPr>
          </w:p>
        </w:tc>
        <w:tc>
          <w:tcPr>
            <w:tcW w:w="671" w:type="dxa"/>
            <w:tcBorders>
              <w:top w:val="nil"/>
              <w:left w:val="nil"/>
              <w:bottom w:val="nil"/>
              <w:right w:val="nil"/>
            </w:tcBorders>
            <w:shd w:val="clear" w:color="auto" w:fill="auto"/>
          </w:tcPr>
          <w:p w14:paraId="1274670D" w14:textId="77777777" w:rsidR="006B7017" w:rsidRPr="006816FD" w:rsidRDefault="006B7017">
            <w:pPr>
              <w:jc w:val="right"/>
              <w:rPr>
                <w:rFonts w:ascii="Arial" w:hAnsi="Arial" w:cs="Arial"/>
                <w:color w:val="000000"/>
                <w:sz w:val="20"/>
              </w:rPr>
            </w:pPr>
          </w:p>
        </w:tc>
        <w:tc>
          <w:tcPr>
            <w:tcW w:w="1440" w:type="dxa"/>
            <w:tcBorders>
              <w:top w:val="nil"/>
              <w:left w:val="nil"/>
              <w:right w:val="nil"/>
            </w:tcBorders>
            <w:vAlign w:val="bottom"/>
          </w:tcPr>
          <w:p w14:paraId="16A22548" w14:textId="77777777" w:rsidR="006B7017" w:rsidRPr="006816FD" w:rsidRDefault="006B7017" w:rsidP="006F3E09">
            <w:pPr>
              <w:jc w:val="center"/>
              <w:rPr>
                <w:rFonts w:ascii="Arial" w:hAnsi="Arial" w:cs="Arial"/>
                <w:color w:val="000000"/>
                <w:sz w:val="20"/>
              </w:rPr>
            </w:pPr>
          </w:p>
        </w:tc>
      </w:tr>
      <w:tr w:rsidR="006B7017" w:rsidRPr="006816FD" w14:paraId="44BF6025" w14:textId="77777777" w:rsidTr="006F0E2E">
        <w:trPr>
          <w:trHeight w:val="300"/>
          <w:jc w:val="center"/>
        </w:trPr>
        <w:tc>
          <w:tcPr>
            <w:tcW w:w="4721" w:type="dxa"/>
            <w:tcBorders>
              <w:top w:val="nil"/>
              <w:left w:val="nil"/>
              <w:bottom w:val="nil"/>
              <w:right w:val="nil"/>
            </w:tcBorders>
            <w:shd w:val="clear" w:color="auto" w:fill="auto"/>
          </w:tcPr>
          <w:p w14:paraId="50007156" w14:textId="77777777" w:rsidR="00ED1704" w:rsidRDefault="00ED1704">
            <w:pPr>
              <w:jc w:val="both"/>
              <w:rPr>
                <w:rFonts w:ascii="Arial" w:hAnsi="Arial" w:cs="Arial"/>
                <w:color w:val="000000"/>
                <w:sz w:val="20"/>
              </w:rPr>
            </w:pPr>
          </w:p>
          <w:p w14:paraId="078A8F9E" w14:textId="77777777" w:rsidR="006B7017" w:rsidRPr="006816FD" w:rsidRDefault="006B7017">
            <w:pPr>
              <w:jc w:val="both"/>
              <w:rPr>
                <w:rFonts w:ascii="Arial" w:hAnsi="Arial" w:cs="Arial"/>
                <w:color w:val="000000"/>
                <w:sz w:val="20"/>
              </w:rPr>
            </w:pPr>
            <w:r w:rsidRPr="006816FD">
              <w:rPr>
                <w:rFonts w:ascii="Arial" w:hAnsi="Arial" w:cs="Arial"/>
                <w:color w:val="000000"/>
                <w:sz w:val="20"/>
              </w:rPr>
              <w:t>Other Income</w:t>
            </w:r>
          </w:p>
        </w:tc>
        <w:tc>
          <w:tcPr>
            <w:tcW w:w="671" w:type="dxa"/>
            <w:tcBorders>
              <w:top w:val="nil"/>
              <w:left w:val="nil"/>
              <w:bottom w:val="nil"/>
              <w:right w:val="nil"/>
            </w:tcBorders>
            <w:shd w:val="clear" w:color="auto" w:fill="auto"/>
          </w:tcPr>
          <w:p w14:paraId="69B45FEF" w14:textId="77777777" w:rsidR="006B7017" w:rsidRPr="006816FD" w:rsidRDefault="006B7017">
            <w:pPr>
              <w:jc w:val="right"/>
              <w:rPr>
                <w:rFonts w:ascii="Arial" w:hAnsi="Arial" w:cs="Arial"/>
                <w:color w:val="000000"/>
                <w:sz w:val="20"/>
              </w:rPr>
            </w:pPr>
          </w:p>
        </w:tc>
        <w:tc>
          <w:tcPr>
            <w:tcW w:w="1440" w:type="dxa"/>
            <w:tcBorders>
              <w:top w:val="nil"/>
              <w:left w:val="nil"/>
              <w:bottom w:val="single" w:sz="4" w:space="0" w:color="auto"/>
              <w:right w:val="nil"/>
            </w:tcBorders>
            <w:vAlign w:val="bottom"/>
          </w:tcPr>
          <w:p w14:paraId="47D1553A" w14:textId="08284D83" w:rsidR="006B7017" w:rsidRPr="006816FD" w:rsidRDefault="00ED1704" w:rsidP="00542510">
            <w:pPr>
              <w:jc w:val="right"/>
              <w:rPr>
                <w:rFonts w:ascii="Arial" w:hAnsi="Arial" w:cs="Arial"/>
                <w:color w:val="000000"/>
                <w:sz w:val="20"/>
              </w:rPr>
            </w:pPr>
            <w:r>
              <w:rPr>
                <w:rFonts w:ascii="Arial" w:hAnsi="Arial" w:cs="Arial"/>
                <w:color w:val="000000"/>
                <w:sz w:val="20"/>
              </w:rPr>
              <w:t xml:space="preserve">                           </w:t>
            </w:r>
            <w:r w:rsidR="00CE657E">
              <w:rPr>
                <w:rFonts w:ascii="Arial" w:hAnsi="Arial" w:cs="Arial"/>
                <w:color w:val="000000"/>
                <w:sz w:val="20"/>
              </w:rPr>
              <w:t>506</w:t>
            </w:r>
            <w:r>
              <w:rPr>
                <w:rFonts w:ascii="Arial" w:hAnsi="Arial" w:cs="Arial"/>
                <w:color w:val="000000"/>
                <w:sz w:val="20"/>
              </w:rPr>
              <w:t xml:space="preserve">  </w:t>
            </w:r>
          </w:p>
        </w:tc>
      </w:tr>
      <w:tr w:rsidR="004A2661" w:rsidRPr="006816FD" w14:paraId="7E0211FC" w14:textId="77777777" w:rsidTr="006F0E2E">
        <w:trPr>
          <w:trHeight w:val="161"/>
          <w:jc w:val="center"/>
        </w:trPr>
        <w:tc>
          <w:tcPr>
            <w:tcW w:w="4721" w:type="dxa"/>
            <w:tcBorders>
              <w:top w:val="nil"/>
              <w:left w:val="nil"/>
              <w:bottom w:val="nil"/>
              <w:right w:val="nil"/>
            </w:tcBorders>
            <w:shd w:val="clear" w:color="auto" w:fill="auto"/>
          </w:tcPr>
          <w:p w14:paraId="7CD84F9E" w14:textId="05DB2595" w:rsidR="004A2661" w:rsidRPr="006816FD" w:rsidRDefault="004A2661" w:rsidP="00542510">
            <w:pPr>
              <w:ind w:left="720"/>
              <w:jc w:val="both"/>
              <w:rPr>
                <w:rFonts w:ascii="Arial" w:hAnsi="Arial" w:cs="Arial"/>
                <w:color w:val="000000"/>
                <w:sz w:val="20"/>
              </w:rPr>
            </w:pPr>
          </w:p>
        </w:tc>
        <w:tc>
          <w:tcPr>
            <w:tcW w:w="671" w:type="dxa"/>
            <w:vMerge w:val="restart"/>
            <w:tcBorders>
              <w:top w:val="nil"/>
              <w:left w:val="nil"/>
              <w:bottom w:val="nil"/>
              <w:right w:val="nil"/>
            </w:tcBorders>
            <w:shd w:val="clear" w:color="auto" w:fill="auto"/>
          </w:tcPr>
          <w:p w14:paraId="11735AFC" w14:textId="77777777" w:rsidR="004A2661" w:rsidRPr="006816FD" w:rsidRDefault="004A2661">
            <w:pPr>
              <w:jc w:val="right"/>
              <w:rPr>
                <w:rFonts w:ascii="Arial" w:hAnsi="Arial" w:cs="Arial"/>
                <w:color w:val="000000"/>
                <w:sz w:val="20"/>
              </w:rPr>
            </w:pPr>
          </w:p>
        </w:tc>
        <w:tc>
          <w:tcPr>
            <w:tcW w:w="1440" w:type="dxa"/>
            <w:tcBorders>
              <w:top w:val="single" w:sz="4" w:space="0" w:color="auto"/>
              <w:left w:val="nil"/>
              <w:right w:val="nil"/>
            </w:tcBorders>
            <w:vAlign w:val="bottom"/>
          </w:tcPr>
          <w:p w14:paraId="11762F52" w14:textId="77777777" w:rsidR="004A2661" w:rsidRPr="006816FD" w:rsidRDefault="004A2661" w:rsidP="006F3E09">
            <w:pPr>
              <w:jc w:val="center"/>
              <w:rPr>
                <w:rFonts w:ascii="Arial" w:hAnsi="Arial" w:cs="Arial"/>
                <w:color w:val="000000"/>
                <w:sz w:val="20"/>
              </w:rPr>
            </w:pPr>
          </w:p>
        </w:tc>
      </w:tr>
      <w:tr w:rsidR="006F0E2E" w:rsidRPr="006816FD" w14:paraId="65C8B597" w14:textId="77777777" w:rsidTr="006F0E2E">
        <w:trPr>
          <w:trHeight w:val="300"/>
          <w:jc w:val="center"/>
        </w:trPr>
        <w:tc>
          <w:tcPr>
            <w:tcW w:w="4721" w:type="dxa"/>
            <w:tcBorders>
              <w:top w:val="nil"/>
              <w:left w:val="nil"/>
              <w:bottom w:val="nil"/>
              <w:right w:val="nil"/>
            </w:tcBorders>
            <w:shd w:val="clear" w:color="auto" w:fill="auto"/>
          </w:tcPr>
          <w:p w14:paraId="3078EF67" w14:textId="77777777" w:rsidR="006F0E2E" w:rsidRPr="006816FD" w:rsidRDefault="006F0E2E">
            <w:pPr>
              <w:jc w:val="both"/>
              <w:rPr>
                <w:rFonts w:ascii="Arial" w:hAnsi="Arial" w:cs="Arial"/>
                <w:b/>
                <w:color w:val="000000"/>
                <w:sz w:val="20"/>
              </w:rPr>
            </w:pPr>
            <w:r w:rsidRPr="006816FD">
              <w:rPr>
                <w:rFonts w:ascii="Arial" w:hAnsi="Arial" w:cs="Arial"/>
                <w:b/>
                <w:color w:val="000000"/>
                <w:sz w:val="20"/>
              </w:rPr>
              <w:t>Total Additions:</w:t>
            </w:r>
          </w:p>
        </w:tc>
        <w:tc>
          <w:tcPr>
            <w:tcW w:w="671" w:type="dxa"/>
            <w:vMerge/>
            <w:tcBorders>
              <w:top w:val="nil"/>
              <w:left w:val="nil"/>
              <w:bottom w:val="nil"/>
              <w:right w:val="nil"/>
            </w:tcBorders>
            <w:shd w:val="clear" w:color="auto" w:fill="auto"/>
          </w:tcPr>
          <w:p w14:paraId="2A8509D4" w14:textId="77777777" w:rsidR="006F0E2E" w:rsidRPr="006816FD" w:rsidRDefault="006F0E2E">
            <w:pPr>
              <w:rPr>
                <w:rFonts w:ascii="Arial" w:hAnsi="Arial" w:cs="Arial"/>
                <w:color w:val="000000"/>
                <w:sz w:val="20"/>
              </w:rPr>
            </w:pPr>
          </w:p>
        </w:tc>
        <w:tc>
          <w:tcPr>
            <w:tcW w:w="1440" w:type="dxa"/>
            <w:tcBorders>
              <w:left w:val="nil"/>
              <w:bottom w:val="single" w:sz="4" w:space="0" w:color="auto"/>
              <w:right w:val="nil"/>
            </w:tcBorders>
          </w:tcPr>
          <w:p w14:paraId="4CD6C176" w14:textId="0D324A06" w:rsidR="006F0E2E" w:rsidRPr="006816FD" w:rsidRDefault="00CE657E" w:rsidP="00927386">
            <w:pPr>
              <w:jc w:val="right"/>
              <w:rPr>
                <w:rFonts w:ascii="Arial" w:hAnsi="Arial" w:cs="Arial"/>
                <w:color w:val="000000"/>
                <w:sz w:val="20"/>
              </w:rPr>
            </w:pPr>
            <w:r w:rsidRPr="00CE657E">
              <w:rPr>
                <w:rFonts w:ascii="Arial" w:hAnsi="Arial" w:cs="Arial"/>
                <w:color w:val="000000"/>
                <w:sz w:val="20"/>
              </w:rPr>
              <w:t>73,639,745</w:t>
            </w:r>
          </w:p>
        </w:tc>
      </w:tr>
      <w:tr w:rsidR="006F0E2E" w:rsidRPr="006816FD" w14:paraId="7A21C4B1" w14:textId="77777777" w:rsidTr="006F0E2E">
        <w:trPr>
          <w:trHeight w:val="224"/>
          <w:jc w:val="center"/>
        </w:trPr>
        <w:tc>
          <w:tcPr>
            <w:tcW w:w="4721" w:type="dxa"/>
            <w:tcBorders>
              <w:top w:val="nil"/>
              <w:left w:val="nil"/>
              <w:bottom w:val="nil"/>
              <w:right w:val="nil"/>
            </w:tcBorders>
            <w:shd w:val="clear" w:color="auto" w:fill="auto"/>
          </w:tcPr>
          <w:p w14:paraId="5FEB4702" w14:textId="77777777" w:rsidR="00ED1704" w:rsidRPr="006816FD" w:rsidRDefault="00ED1704">
            <w:pPr>
              <w:jc w:val="both"/>
              <w:rPr>
                <w:rFonts w:ascii="Arial" w:hAnsi="Arial" w:cs="Arial"/>
                <w:color w:val="000000"/>
                <w:sz w:val="20"/>
              </w:rPr>
            </w:pPr>
          </w:p>
        </w:tc>
        <w:tc>
          <w:tcPr>
            <w:tcW w:w="671" w:type="dxa"/>
            <w:tcBorders>
              <w:top w:val="nil"/>
              <w:left w:val="nil"/>
              <w:bottom w:val="nil"/>
              <w:right w:val="nil"/>
            </w:tcBorders>
            <w:shd w:val="clear" w:color="auto" w:fill="auto"/>
          </w:tcPr>
          <w:p w14:paraId="600FF9CE" w14:textId="77777777" w:rsidR="006F0E2E" w:rsidRPr="006816FD" w:rsidRDefault="006F0E2E">
            <w:pPr>
              <w:jc w:val="right"/>
              <w:rPr>
                <w:rFonts w:ascii="Arial" w:hAnsi="Arial" w:cs="Arial"/>
                <w:color w:val="000000"/>
                <w:sz w:val="20"/>
              </w:rPr>
            </w:pPr>
          </w:p>
        </w:tc>
        <w:tc>
          <w:tcPr>
            <w:tcW w:w="1440" w:type="dxa"/>
            <w:tcBorders>
              <w:top w:val="single" w:sz="4" w:space="0" w:color="auto"/>
              <w:left w:val="nil"/>
              <w:right w:val="nil"/>
            </w:tcBorders>
          </w:tcPr>
          <w:p w14:paraId="5FEF4B1F" w14:textId="77777777" w:rsidR="006F0E2E" w:rsidRPr="006816FD" w:rsidRDefault="006F0E2E" w:rsidP="00F72FEB">
            <w:pPr>
              <w:jc w:val="right"/>
              <w:rPr>
                <w:rFonts w:ascii="Arial" w:hAnsi="Arial" w:cs="Arial"/>
                <w:color w:val="000000"/>
                <w:sz w:val="20"/>
              </w:rPr>
            </w:pPr>
          </w:p>
        </w:tc>
      </w:tr>
      <w:tr w:rsidR="006F0E2E" w:rsidRPr="006816FD" w14:paraId="4D76B40C" w14:textId="77777777" w:rsidTr="006F0E2E">
        <w:trPr>
          <w:trHeight w:val="300"/>
          <w:jc w:val="center"/>
        </w:trPr>
        <w:tc>
          <w:tcPr>
            <w:tcW w:w="4721" w:type="dxa"/>
            <w:tcBorders>
              <w:top w:val="nil"/>
              <w:left w:val="nil"/>
              <w:bottom w:val="nil"/>
              <w:right w:val="nil"/>
            </w:tcBorders>
            <w:shd w:val="clear" w:color="auto" w:fill="auto"/>
          </w:tcPr>
          <w:p w14:paraId="7C83B1BC" w14:textId="77777777" w:rsidR="006F0E2E" w:rsidRPr="006816FD" w:rsidRDefault="006F0E2E">
            <w:pPr>
              <w:jc w:val="both"/>
              <w:rPr>
                <w:rFonts w:ascii="Arial" w:hAnsi="Arial" w:cs="Arial"/>
                <w:color w:val="000000"/>
                <w:sz w:val="20"/>
              </w:rPr>
            </w:pPr>
            <w:r w:rsidRPr="006816FD">
              <w:rPr>
                <w:rFonts w:ascii="Arial" w:hAnsi="Arial" w:cs="Arial"/>
                <w:b/>
                <w:bCs/>
                <w:color w:val="000000"/>
                <w:sz w:val="20"/>
              </w:rPr>
              <w:t>Deductions:</w:t>
            </w:r>
          </w:p>
        </w:tc>
        <w:tc>
          <w:tcPr>
            <w:tcW w:w="671" w:type="dxa"/>
            <w:tcBorders>
              <w:top w:val="nil"/>
              <w:left w:val="nil"/>
              <w:bottom w:val="nil"/>
              <w:right w:val="nil"/>
            </w:tcBorders>
            <w:shd w:val="clear" w:color="auto" w:fill="auto"/>
          </w:tcPr>
          <w:p w14:paraId="634667D0" w14:textId="77777777" w:rsidR="006F0E2E" w:rsidRPr="006816FD" w:rsidRDefault="006F0E2E">
            <w:pPr>
              <w:jc w:val="right"/>
              <w:rPr>
                <w:rFonts w:ascii="Arial" w:hAnsi="Arial" w:cs="Arial"/>
                <w:color w:val="000000"/>
                <w:sz w:val="20"/>
              </w:rPr>
            </w:pPr>
          </w:p>
        </w:tc>
        <w:tc>
          <w:tcPr>
            <w:tcW w:w="1440" w:type="dxa"/>
            <w:tcBorders>
              <w:left w:val="nil"/>
              <w:bottom w:val="nil"/>
              <w:right w:val="nil"/>
            </w:tcBorders>
          </w:tcPr>
          <w:p w14:paraId="1F0993C5" w14:textId="77777777" w:rsidR="006F0E2E" w:rsidRPr="006816FD" w:rsidRDefault="006F0E2E" w:rsidP="006F3E09">
            <w:pPr>
              <w:jc w:val="right"/>
              <w:rPr>
                <w:rFonts w:ascii="Arial" w:hAnsi="Arial" w:cs="Arial"/>
                <w:color w:val="000000"/>
                <w:sz w:val="20"/>
              </w:rPr>
            </w:pPr>
          </w:p>
        </w:tc>
      </w:tr>
      <w:tr w:rsidR="006F0E2E" w:rsidRPr="006816FD" w14:paraId="11320434" w14:textId="77777777" w:rsidTr="006F0E2E">
        <w:trPr>
          <w:trHeight w:val="315"/>
          <w:jc w:val="center"/>
        </w:trPr>
        <w:tc>
          <w:tcPr>
            <w:tcW w:w="4721" w:type="dxa"/>
            <w:tcBorders>
              <w:top w:val="nil"/>
              <w:left w:val="nil"/>
              <w:bottom w:val="nil"/>
              <w:right w:val="nil"/>
            </w:tcBorders>
            <w:shd w:val="clear" w:color="auto" w:fill="auto"/>
            <w:hideMark/>
          </w:tcPr>
          <w:p w14:paraId="5DE61523" w14:textId="77777777" w:rsidR="006F0E2E" w:rsidRPr="006816FD" w:rsidRDefault="006F0E2E">
            <w:pPr>
              <w:jc w:val="both"/>
              <w:rPr>
                <w:rFonts w:ascii="Arial" w:hAnsi="Arial" w:cs="Arial"/>
                <w:color w:val="000000"/>
                <w:sz w:val="20"/>
              </w:rPr>
            </w:pPr>
            <w:r w:rsidRPr="006816FD">
              <w:rPr>
                <w:rFonts w:ascii="Arial" w:hAnsi="Arial" w:cs="Arial"/>
                <w:color w:val="000000"/>
                <w:sz w:val="20"/>
              </w:rPr>
              <w:t>Payments to Participants</w:t>
            </w:r>
          </w:p>
        </w:tc>
        <w:tc>
          <w:tcPr>
            <w:tcW w:w="671" w:type="dxa"/>
            <w:tcBorders>
              <w:top w:val="nil"/>
              <w:left w:val="nil"/>
              <w:bottom w:val="nil"/>
              <w:right w:val="nil"/>
            </w:tcBorders>
            <w:shd w:val="clear" w:color="auto" w:fill="auto"/>
            <w:hideMark/>
          </w:tcPr>
          <w:p w14:paraId="5EC5C551" w14:textId="77777777" w:rsidR="006F0E2E" w:rsidRPr="006816FD" w:rsidRDefault="006F0E2E">
            <w:pPr>
              <w:jc w:val="right"/>
              <w:rPr>
                <w:rFonts w:ascii="Arial" w:hAnsi="Arial" w:cs="Arial"/>
                <w:color w:val="000000"/>
                <w:sz w:val="20"/>
              </w:rPr>
            </w:pPr>
          </w:p>
        </w:tc>
        <w:tc>
          <w:tcPr>
            <w:tcW w:w="1440" w:type="dxa"/>
            <w:tcBorders>
              <w:top w:val="nil"/>
              <w:left w:val="nil"/>
              <w:right w:val="nil"/>
            </w:tcBorders>
          </w:tcPr>
          <w:p w14:paraId="642F99F4" w14:textId="5D4E7AD4" w:rsidR="006F0E2E" w:rsidRPr="006816FD" w:rsidRDefault="00CE657E" w:rsidP="00EF6130">
            <w:pPr>
              <w:jc w:val="right"/>
              <w:rPr>
                <w:rFonts w:ascii="Arial" w:hAnsi="Arial" w:cs="Arial"/>
                <w:color w:val="000000"/>
                <w:sz w:val="20"/>
              </w:rPr>
            </w:pPr>
            <w:r w:rsidRPr="00CE657E">
              <w:rPr>
                <w:rFonts w:ascii="Arial" w:hAnsi="Arial" w:cs="Arial"/>
                <w:color w:val="000000"/>
                <w:sz w:val="20"/>
              </w:rPr>
              <w:t>36,377,152</w:t>
            </w:r>
          </w:p>
        </w:tc>
      </w:tr>
      <w:tr w:rsidR="006F0E2E" w:rsidRPr="006816FD" w14:paraId="1E655F5D" w14:textId="77777777" w:rsidTr="006F0E2E">
        <w:trPr>
          <w:trHeight w:hRule="exact" w:val="300"/>
          <w:jc w:val="center"/>
        </w:trPr>
        <w:tc>
          <w:tcPr>
            <w:tcW w:w="4721" w:type="dxa"/>
            <w:tcBorders>
              <w:top w:val="nil"/>
              <w:left w:val="nil"/>
              <w:bottom w:val="nil"/>
              <w:right w:val="nil"/>
            </w:tcBorders>
            <w:shd w:val="clear" w:color="auto" w:fill="auto"/>
            <w:hideMark/>
          </w:tcPr>
          <w:p w14:paraId="46D7FB35" w14:textId="77777777" w:rsidR="006F0E2E" w:rsidRPr="006816FD" w:rsidRDefault="006F0E2E">
            <w:pPr>
              <w:jc w:val="both"/>
              <w:rPr>
                <w:rFonts w:ascii="Arial" w:hAnsi="Arial" w:cs="Arial"/>
                <w:b/>
                <w:bCs/>
                <w:color w:val="000000"/>
                <w:sz w:val="20"/>
              </w:rPr>
            </w:pPr>
            <w:r w:rsidRPr="006816FD">
              <w:rPr>
                <w:rFonts w:ascii="Arial" w:hAnsi="Arial" w:cs="Arial"/>
                <w:color w:val="000000"/>
                <w:sz w:val="20"/>
              </w:rPr>
              <w:t>Administrative Expenses</w:t>
            </w:r>
          </w:p>
        </w:tc>
        <w:tc>
          <w:tcPr>
            <w:tcW w:w="671" w:type="dxa"/>
            <w:tcBorders>
              <w:top w:val="nil"/>
              <w:left w:val="nil"/>
              <w:bottom w:val="nil"/>
              <w:right w:val="nil"/>
            </w:tcBorders>
            <w:shd w:val="clear" w:color="auto" w:fill="auto"/>
            <w:hideMark/>
          </w:tcPr>
          <w:p w14:paraId="66CD028F" w14:textId="77777777" w:rsidR="006F0E2E" w:rsidRPr="006816FD" w:rsidRDefault="006F0E2E">
            <w:pPr>
              <w:jc w:val="right"/>
              <w:rPr>
                <w:rFonts w:ascii="Arial" w:hAnsi="Arial" w:cs="Arial"/>
                <w:color w:val="000000"/>
                <w:sz w:val="20"/>
              </w:rPr>
            </w:pPr>
          </w:p>
        </w:tc>
        <w:tc>
          <w:tcPr>
            <w:tcW w:w="1440" w:type="dxa"/>
            <w:tcBorders>
              <w:left w:val="nil"/>
              <w:bottom w:val="single" w:sz="4" w:space="0" w:color="auto"/>
              <w:right w:val="nil"/>
            </w:tcBorders>
          </w:tcPr>
          <w:p w14:paraId="61E80DC6" w14:textId="26CB0F21" w:rsidR="006F0E2E" w:rsidRPr="006816FD" w:rsidRDefault="00CE657E" w:rsidP="00EF6130">
            <w:pPr>
              <w:jc w:val="right"/>
              <w:rPr>
                <w:rFonts w:ascii="Arial" w:hAnsi="Arial" w:cs="Arial"/>
                <w:color w:val="000000"/>
                <w:sz w:val="20"/>
              </w:rPr>
            </w:pPr>
            <w:r w:rsidRPr="00CE657E">
              <w:rPr>
                <w:rFonts w:ascii="Arial" w:hAnsi="Arial" w:cs="Arial"/>
                <w:color w:val="000000"/>
                <w:sz w:val="20"/>
              </w:rPr>
              <w:t>266,467</w:t>
            </w:r>
          </w:p>
        </w:tc>
      </w:tr>
      <w:tr w:rsidR="006F0E2E" w:rsidRPr="006816FD" w14:paraId="23ABC60C" w14:textId="77777777" w:rsidTr="006F0E2E">
        <w:trPr>
          <w:trHeight w:val="116"/>
          <w:jc w:val="center"/>
        </w:trPr>
        <w:tc>
          <w:tcPr>
            <w:tcW w:w="4721" w:type="dxa"/>
            <w:tcBorders>
              <w:top w:val="nil"/>
              <w:left w:val="nil"/>
              <w:bottom w:val="nil"/>
              <w:right w:val="nil"/>
            </w:tcBorders>
            <w:shd w:val="clear" w:color="auto" w:fill="auto"/>
            <w:hideMark/>
          </w:tcPr>
          <w:p w14:paraId="320844FC" w14:textId="77777777" w:rsidR="006F0E2E" w:rsidRPr="006816FD" w:rsidRDefault="006F0E2E">
            <w:pPr>
              <w:jc w:val="both"/>
              <w:rPr>
                <w:rFonts w:ascii="Arial" w:hAnsi="Arial" w:cs="Arial"/>
                <w:b/>
                <w:bCs/>
                <w:color w:val="000000"/>
                <w:sz w:val="20"/>
              </w:rPr>
            </w:pPr>
          </w:p>
        </w:tc>
        <w:tc>
          <w:tcPr>
            <w:tcW w:w="671" w:type="dxa"/>
            <w:tcBorders>
              <w:top w:val="nil"/>
              <w:left w:val="nil"/>
              <w:bottom w:val="nil"/>
              <w:right w:val="nil"/>
            </w:tcBorders>
            <w:shd w:val="clear" w:color="auto" w:fill="auto"/>
            <w:hideMark/>
          </w:tcPr>
          <w:p w14:paraId="024B34FE" w14:textId="77777777" w:rsidR="006F0E2E" w:rsidRPr="006816FD" w:rsidRDefault="006F0E2E">
            <w:pPr>
              <w:jc w:val="right"/>
              <w:rPr>
                <w:rFonts w:ascii="Arial" w:hAnsi="Arial" w:cs="Arial"/>
                <w:color w:val="000000"/>
                <w:sz w:val="20"/>
              </w:rPr>
            </w:pPr>
          </w:p>
        </w:tc>
        <w:tc>
          <w:tcPr>
            <w:tcW w:w="1440" w:type="dxa"/>
            <w:tcBorders>
              <w:top w:val="single" w:sz="4" w:space="0" w:color="auto"/>
              <w:left w:val="nil"/>
              <w:right w:val="nil"/>
            </w:tcBorders>
          </w:tcPr>
          <w:p w14:paraId="1A3CA5A7" w14:textId="77777777" w:rsidR="006F0E2E" w:rsidRPr="006816FD" w:rsidRDefault="006F0E2E" w:rsidP="006F3E09">
            <w:pPr>
              <w:jc w:val="right"/>
              <w:rPr>
                <w:rFonts w:ascii="Arial" w:hAnsi="Arial" w:cs="Arial"/>
                <w:color w:val="000000"/>
                <w:sz w:val="20"/>
              </w:rPr>
            </w:pPr>
          </w:p>
        </w:tc>
      </w:tr>
      <w:tr w:rsidR="006F0E2E" w:rsidRPr="006816FD" w14:paraId="00891EA1" w14:textId="77777777" w:rsidTr="006F0E2E">
        <w:trPr>
          <w:trHeight w:val="300"/>
          <w:jc w:val="center"/>
        </w:trPr>
        <w:tc>
          <w:tcPr>
            <w:tcW w:w="4721" w:type="dxa"/>
            <w:tcBorders>
              <w:top w:val="nil"/>
              <w:left w:val="nil"/>
              <w:bottom w:val="nil"/>
              <w:right w:val="nil"/>
            </w:tcBorders>
            <w:shd w:val="clear" w:color="auto" w:fill="auto"/>
            <w:hideMark/>
          </w:tcPr>
          <w:p w14:paraId="0FD984B1" w14:textId="77777777" w:rsidR="006F0E2E" w:rsidRPr="006816FD" w:rsidRDefault="006F0E2E">
            <w:pPr>
              <w:jc w:val="both"/>
              <w:rPr>
                <w:rFonts w:ascii="Arial" w:hAnsi="Arial" w:cs="Arial"/>
                <w:color w:val="000000"/>
                <w:sz w:val="20"/>
              </w:rPr>
            </w:pPr>
            <w:r w:rsidRPr="006816FD">
              <w:rPr>
                <w:rFonts w:ascii="Arial" w:hAnsi="Arial" w:cs="Arial"/>
                <w:color w:val="000000"/>
                <w:sz w:val="20"/>
              </w:rPr>
              <w:t>Total Deductions</w:t>
            </w:r>
          </w:p>
        </w:tc>
        <w:tc>
          <w:tcPr>
            <w:tcW w:w="671" w:type="dxa"/>
            <w:tcBorders>
              <w:top w:val="nil"/>
              <w:left w:val="nil"/>
              <w:bottom w:val="nil"/>
              <w:right w:val="nil"/>
            </w:tcBorders>
            <w:shd w:val="clear" w:color="auto" w:fill="auto"/>
            <w:hideMark/>
          </w:tcPr>
          <w:p w14:paraId="26C434F9" w14:textId="77777777" w:rsidR="006F0E2E" w:rsidRPr="006816FD" w:rsidRDefault="006F0E2E">
            <w:pPr>
              <w:jc w:val="right"/>
              <w:rPr>
                <w:rFonts w:ascii="Arial" w:hAnsi="Arial" w:cs="Arial"/>
                <w:color w:val="000000"/>
                <w:sz w:val="20"/>
              </w:rPr>
            </w:pPr>
          </w:p>
        </w:tc>
        <w:tc>
          <w:tcPr>
            <w:tcW w:w="1440" w:type="dxa"/>
            <w:tcBorders>
              <w:left w:val="nil"/>
              <w:bottom w:val="single" w:sz="4" w:space="0" w:color="auto"/>
              <w:right w:val="nil"/>
            </w:tcBorders>
          </w:tcPr>
          <w:p w14:paraId="5030F08D" w14:textId="76394B1D" w:rsidR="006F0E2E" w:rsidRPr="006816FD" w:rsidRDefault="00CE657E" w:rsidP="00EF6130">
            <w:pPr>
              <w:jc w:val="right"/>
              <w:rPr>
                <w:rFonts w:ascii="Arial" w:hAnsi="Arial" w:cs="Arial"/>
                <w:color w:val="000000"/>
                <w:sz w:val="20"/>
              </w:rPr>
            </w:pPr>
            <w:r w:rsidRPr="00CE657E">
              <w:rPr>
                <w:rFonts w:ascii="Arial" w:hAnsi="Arial" w:cs="Arial"/>
                <w:color w:val="000000"/>
                <w:sz w:val="20"/>
              </w:rPr>
              <w:t>36,</w:t>
            </w:r>
            <w:r w:rsidR="00230C71">
              <w:rPr>
                <w:rFonts w:ascii="Arial" w:hAnsi="Arial" w:cs="Arial"/>
                <w:color w:val="000000"/>
                <w:sz w:val="20"/>
              </w:rPr>
              <w:t>643,619</w:t>
            </w:r>
          </w:p>
        </w:tc>
      </w:tr>
      <w:tr w:rsidR="006F0E2E" w:rsidRPr="006816FD" w14:paraId="60117BB1" w14:textId="77777777" w:rsidTr="006F0E2E">
        <w:trPr>
          <w:trHeight w:val="161"/>
          <w:jc w:val="center"/>
        </w:trPr>
        <w:tc>
          <w:tcPr>
            <w:tcW w:w="4721" w:type="dxa"/>
            <w:tcBorders>
              <w:top w:val="nil"/>
              <w:left w:val="nil"/>
              <w:bottom w:val="nil"/>
              <w:right w:val="nil"/>
            </w:tcBorders>
            <w:shd w:val="clear" w:color="auto" w:fill="auto"/>
          </w:tcPr>
          <w:p w14:paraId="2768ABF4" w14:textId="77777777" w:rsidR="006F0E2E" w:rsidRPr="006816FD" w:rsidRDefault="006F0E2E">
            <w:pPr>
              <w:jc w:val="both"/>
              <w:rPr>
                <w:rFonts w:ascii="Arial" w:hAnsi="Arial" w:cs="Arial"/>
                <w:color w:val="000000"/>
                <w:sz w:val="20"/>
              </w:rPr>
            </w:pPr>
          </w:p>
        </w:tc>
        <w:tc>
          <w:tcPr>
            <w:tcW w:w="671" w:type="dxa"/>
            <w:tcBorders>
              <w:top w:val="nil"/>
              <w:left w:val="nil"/>
              <w:bottom w:val="nil"/>
              <w:right w:val="nil"/>
            </w:tcBorders>
            <w:shd w:val="clear" w:color="auto" w:fill="auto"/>
          </w:tcPr>
          <w:p w14:paraId="75998296" w14:textId="77777777" w:rsidR="006F0E2E" w:rsidRPr="006816FD" w:rsidRDefault="006F0E2E">
            <w:pPr>
              <w:rPr>
                <w:rFonts w:ascii="Arial" w:hAnsi="Arial" w:cs="Arial"/>
                <w:color w:val="000000"/>
                <w:sz w:val="20"/>
              </w:rPr>
            </w:pPr>
          </w:p>
        </w:tc>
        <w:tc>
          <w:tcPr>
            <w:tcW w:w="1440" w:type="dxa"/>
            <w:tcBorders>
              <w:top w:val="single" w:sz="4" w:space="0" w:color="auto"/>
              <w:left w:val="nil"/>
              <w:right w:val="nil"/>
            </w:tcBorders>
          </w:tcPr>
          <w:p w14:paraId="1D339CC2" w14:textId="77777777" w:rsidR="006F0E2E" w:rsidRPr="006816FD" w:rsidRDefault="006F0E2E" w:rsidP="006F3E09">
            <w:pPr>
              <w:jc w:val="right"/>
              <w:rPr>
                <w:rFonts w:ascii="Arial" w:hAnsi="Arial" w:cs="Arial"/>
                <w:color w:val="000000"/>
                <w:sz w:val="20"/>
              </w:rPr>
            </w:pPr>
          </w:p>
        </w:tc>
      </w:tr>
      <w:tr w:rsidR="006F0E2E" w:rsidRPr="006816FD" w14:paraId="0998E106" w14:textId="77777777" w:rsidTr="006F0E2E">
        <w:trPr>
          <w:trHeight w:val="315"/>
          <w:jc w:val="center"/>
        </w:trPr>
        <w:tc>
          <w:tcPr>
            <w:tcW w:w="4721" w:type="dxa"/>
            <w:tcBorders>
              <w:top w:val="nil"/>
              <w:left w:val="nil"/>
              <w:bottom w:val="nil"/>
              <w:right w:val="nil"/>
            </w:tcBorders>
            <w:shd w:val="clear" w:color="auto" w:fill="auto"/>
          </w:tcPr>
          <w:p w14:paraId="19C31E81" w14:textId="77777777" w:rsidR="006F0E2E" w:rsidRPr="006816FD" w:rsidRDefault="006F0E2E">
            <w:pPr>
              <w:jc w:val="both"/>
              <w:rPr>
                <w:rFonts w:ascii="Arial" w:hAnsi="Arial" w:cs="Arial"/>
                <w:b/>
                <w:color w:val="000000"/>
                <w:sz w:val="20"/>
              </w:rPr>
            </w:pPr>
            <w:r w:rsidRPr="006816FD">
              <w:rPr>
                <w:rFonts w:ascii="Arial" w:hAnsi="Arial" w:cs="Arial"/>
                <w:b/>
                <w:color w:val="000000"/>
                <w:sz w:val="20"/>
              </w:rPr>
              <w:t>Net Increase</w:t>
            </w:r>
            <w:r w:rsidR="000B182C">
              <w:rPr>
                <w:rFonts w:ascii="Arial" w:hAnsi="Arial" w:cs="Arial"/>
                <w:b/>
                <w:color w:val="000000"/>
                <w:sz w:val="20"/>
              </w:rPr>
              <w:t xml:space="preserve"> (Decrease)</w:t>
            </w:r>
          </w:p>
        </w:tc>
        <w:tc>
          <w:tcPr>
            <w:tcW w:w="671" w:type="dxa"/>
            <w:tcBorders>
              <w:top w:val="nil"/>
              <w:left w:val="nil"/>
              <w:bottom w:val="nil"/>
              <w:right w:val="nil"/>
            </w:tcBorders>
            <w:shd w:val="clear" w:color="auto" w:fill="auto"/>
          </w:tcPr>
          <w:p w14:paraId="6D75EF3C" w14:textId="77777777" w:rsidR="006F0E2E" w:rsidRPr="006816FD" w:rsidRDefault="006F0E2E">
            <w:pPr>
              <w:jc w:val="right"/>
              <w:rPr>
                <w:rFonts w:ascii="Arial" w:hAnsi="Arial" w:cs="Arial"/>
                <w:color w:val="000000"/>
                <w:sz w:val="20"/>
              </w:rPr>
            </w:pPr>
          </w:p>
        </w:tc>
        <w:tc>
          <w:tcPr>
            <w:tcW w:w="1440" w:type="dxa"/>
            <w:tcBorders>
              <w:top w:val="nil"/>
              <w:left w:val="nil"/>
              <w:bottom w:val="nil"/>
              <w:right w:val="nil"/>
            </w:tcBorders>
          </w:tcPr>
          <w:p w14:paraId="6067CFB9" w14:textId="208173A7" w:rsidR="006F0E2E" w:rsidRPr="006816FD" w:rsidRDefault="00CE657E" w:rsidP="006F3E09">
            <w:pPr>
              <w:jc w:val="right"/>
              <w:rPr>
                <w:rFonts w:ascii="Arial" w:hAnsi="Arial" w:cs="Arial"/>
                <w:color w:val="000000"/>
                <w:sz w:val="20"/>
              </w:rPr>
            </w:pPr>
            <w:r w:rsidRPr="00CE657E">
              <w:rPr>
                <w:rFonts w:ascii="Arial" w:hAnsi="Arial" w:cs="Arial"/>
                <w:color w:val="000000"/>
                <w:sz w:val="20"/>
              </w:rPr>
              <w:t>36,996,126</w:t>
            </w:r>
          </w:p>
        </w:tc>
      </w:tr>
      <w:tr w:rsidR="006F0E2E" w:rsidRPr="006816FD" w14:paraId="276BAF56" w14:textId="77777777" w:rsidTr="00927386">
        <w:trPr>
          <w:trHeight w:val="135"/>
          <w:jc w:val="center"/>
        </w:trPr>
        <w:tc>
          <w:tcPr>
            <w:tcW w:w="4721" w:type="dxa"/>
            <w:tcBorders>
              <w:top w:val="nil"/>
              <w:left w:val="nil"/>
              <w:bottom w:val="nil"/>
              <w:right w:val="nil"/>
            </w:tcBorders>
            <w:shd w:val="clear" w:color="auto" w:fill="auto"/>
          </w:tcPr>
          <w:p w14:paraId="48FD5D79" w14:textId="0AA183E5" w:rsidR="006F0E2E" w:rsidRPr="006816FD" w:rsidRDefault="006F0E2E">
            <w:pPr>
              <w:jc w:val="both"/>
              <w:rPr>
                <w:rFonts w:ascii="Arial" w:hAnsi="Arial" w:cs="Arial"/>
                <w:color w:val="000000"/>
                <w:sz w:val="20"/>
              </w:rPr>
            </w:pPr>
          </w:p>
        </w:tc>
        <w:tc>
          <w:tcPr>
            <w:tcW w:w="671" w:type="dxa"/>
            <w:tcBorders>
              <w:top w:val="nil"/>
              <w:left w:val="nil"/>
              <w:bottom w:val="nil"/>
              <w:right w:val="nil"/>
            </w:tcBorders>
            <w:shd w:val="clear" w:color="auto" w:fill="auto"/>
          </w:tcPr>
          <w:p w14:paraId="3AF7D0EF" w14:textId="77777777" w:rsidR="006F0E2E" w:rsidRPr="006816FD" w:rsidRDefault="006F0E2E">
            <w:pPr>
              <w:jc w:val="right"/>
              <w:rPr>
                <w:rFonts w:ascii="Arial" w:hAnsi="Arial" w:cs="Arial"/>
                <w:color w:val="000000"/>
                <w:sz w:val="20"/>
              </w:rPr>
            </w:pPr>
          </w:p>
        </w:tc>
        <w:tc>
          <w:tcPr>
            <w:tcW w:w="1440" w:type="dxa"/>
            <w:tcBorders>
              <w:top w:val="nil"/>
              <w:left w:val="nil"/>
              <w:right w:val="nil"/>
            </w:tcBorders>
          </w:tcPr>
          <w:p w14:paraId="501742D4" w14:textId="77777777" w:rsidR="006F0E2E" w:rsidRPr="006816FD" w:rsidRDefault="006F0E2E" w:rsidP="006F3E09">
            <w:pPr>
              <w:jc w:val="right"/>
              <w:rPr>
                <w:rFonts w:ascii="Arial" w:hAnsi="Arial" w:cs="Arial"/>
                <w:color w:val="000000"/>
                <w:sz w:val="20"/>
              </w:rPr>
            </w:pPr>
          </w:p>
        </w:tc>
      </w:tr>
      <w:tr w:rsidR="006F0E2E" w:rsidRPr="006816FD" w14:paraId="37E9B3AF" w14:textId="77777777" w:rsidTr="00927386">
        <w:trPr>
          <w:trHeight w:val="300"/>
          <w:jc w:val="center"/>
        </w:trPr>
        <w:tc>
          <w:tcPr>
            <w:tcW w:w="4721" w:type="dxa"/>
            <w:tcBorders>
              <w:top w:val="nil"/>
              <w:left w:val="nil"/>
              <w:bottom w:val="nil"/>
              <w:right w:val="nil"/>
            </w:tcBorders>
            <w:shd w:val="clear" w:color="auto" w:fill="auto"/>
            <w:hideMark/>
          </w:tcPr>
          <w:p w14:paraId="6932346E" w14:textId="77777777" w:rsidR="006F0E2E" w:rsidRPr="006816FD" w:rsidRDefault="006F0E2E" w:rsidP="006B7017">
            <w:pPr>
              <w:rPr>
                <w:rFonts w:ascii="Arial" w:hAnsi="Arial" w:cs="Arial"/>
                <w:color w:val="000000"/>
                <w:sz w:val="20"/>
              </w:rPr>
            </w:pPr>
            <w:r w:rsidRPr="006816FD">
              <w:rPr>
                <w:rFonts w:ascii="Arial" w:hAnsi="Arial" w:cs="Arial"/>
                <w:color w:val="000000"/>
                <w:sz w:val="20"/>
              </w:rPr>
              <w:t>Net Position Restricted for Pension Benefits:</w:t>
            </w:r>
          </w:p>
          <w:p w14:paraId="46125706" w14:textId="77777777" w:rsidR="006F0E2E" w:rsidRPr="006816FD" w:rsidRDefault="006F0E2E" w:rsidP="006B7017">
            <w:pPr>
              <w:rPr>
                <w:rFonts w:ascii="Arial" w:hAnsi="Arial" w:cs="Arial"/>
                <w:color w:val="000000"/>
                <w:sz w:val="20"/>
              </w:rPr>
            </w:pPr>
            <w:r w:rsidRPr="006816FD">
              <w:rPr>
                <w:rFonts w:ascii="Arial" w:hAnsi="Arial" w:cs="Arial"/>
                <w:color w:val="000000"/>
                <w:sz w:val="20"/>
              </w:rPr>
              <w:t>Beginning of Year</w:t>
            </w:r>
          </w:p>
        </w:tc>
        <w:tc>
          <w:tcPr>
            <w:tcW w:w="671" w:type="dxa"/>
            <w:tcBorders>
              <w:top w:val="nil"/>
              <w:left w:val="nil"/>
              <w:bottom w:val="nil"/>
              <w:right w:val="nil"/>
            </w:tcBorders>
            <w:shd w:val="clear" w:color="auto" w:fill="auto"/>
            <w:vAlign w:val="bottom"/>
            <w:hideMark/>
          </w:tcPr>
          <w:p w14:paraId="48A14CB5" w14:textId="77777777" w:rsidR="006F0E2E" w:rsidRPr="006816FD" w:rsidRDefault="006F0E2E" w:rsidP="006F0E2E">
            <w:pPr>
              <w:jc w:val="right"/>
              <w:rPr>
                <w:rFonts w:ascii="Arial" w:hAnsi="Arial" w:cs="Arial"/>
                <w:color w:val="000000"/>
                <w:sz w:val="20"/>
              </w:rPr>
            </w:pPr>
          </w:p>
        </w:tc>
        <w:tc>
          <w:tcPr>
            <w:tcW w:w="1440" w:type="dxa"/>
            <w:tcBorders>
              <w:top w:val="nil"/>
              <w:left w:val="nil"/>
              <w:bottom w:val="single" w:sz="4" w:space="0" w:color="auto"/>
              <w:right w:val="nil"/>
            </w:tcBorders>
            <w:vAlign w:val="bottom"/>
          </w:tcPr>
          <w:p w14:paraId="6F089930" w14:textId="213E99CC" w:rsidR="006F0E2E" w:rsidRPr="006816FD" w:rsidRDefault="00CE657E" w:rsidP="006F0E2E">
            <w:pPr>
              <w:jc w:val="right"/>
              <w:rPr>
                <w:rFonts w:ascii="Arial" w:hAnsi="Arial" w:cs="Arial"/>
                <w:color w:val="000000"/>
                <w:sz w:val="20"/>
              </w:rPr>
            </w:pPr>
            <w:r w:rsidRPr="00CE657E">
              <w:rPr>
                <w:rFonts w:ascii="Arial" w:hAnsi="Arial" w:cs="Arial"/>
                <w:color w:val="000000"/>
                <w:sz w:val="20"/>
              </w:rPr>
              <w:t>468,500,009</w:t>
            </w:r>
          </w:p>
        </w:tc>
      </w:tr>
      <w:tr w:rsidR="006F0E2E" w:rsidRPr="006816FD" w14:paraId="553F3EA3" w14:textId="77777777" w:rsidTr="00927386">
        <w:trPr>
          <w:trHeight w:val="117"/>
          <w:jc w:val="center"/>
        </w:trPr>
        <w:tc>
          <w:tcPr>
            <w:tcW w:w="4721" w:type="dxa"/>
            <w:tcBorders>
              <w:top w:val="nil"/>
              <w:left w:val="nil"/>
              <w:bottom w:val="nil"/>
              <w:right w:val="nil"/>
            </w:tcBorders>
            <w:shd w:val="clear" w:color="auto" w:fill="auto"/>
            <w:hideMark/>
          </w:tcPr>
          <w:p w14:paraId="1B9F141F" w14:textId="77777777" w:rsidR="006F0E2E" w:rsidRPr="006816FD" w:rsidRDefault="006F0E2E" w:rsidP="0068619F">
            <w:pPr>
              <w:spacing w:after="100" w:afterAutospacing="1"/>
              <w:jc w:val="both"/>
              <w:rPr>
                <w:rFonts w:ascii="Arial" w:hAnsi="Arial" w:cs="Arial"/>
                <w:color w:val="000000"/>
                <w:sz w:val="20"/>
              </w:rPr>
            </w:pPr>
          </w:p>
        </w:tc>
        <w:tc>
          <w:tcPr>
            <w:tcW w:w="671" w:type="dxa"/>
            <w:tcBorders>
              <w:top w:val="nil"/>
              <w:left w:val="nil"/>
              <w:bottom w:val="nil"/>
              <w:right w:val="nil"/>
            </w:tcBorders>
            <w:shd w:val="clear" w:color="auto" w:fill="auto"/>
            <w:hideMark/>
          </w:tcPr>
          <w:p w14:paraId="40D3B10B" w14:textId="77777777" w:rsidR="006F0E2E" w:rsidRPr="006816FD" w:rsidRDefault="006F0E2E">
            <w:pPr>
              <w:jc w:val="right"/>
              <w:rPr>
                <w:rFonts w:ascii="Arial" w:hAnsi="Arial" w:cs="Arial"/>
                <w:color w:val="000000"/>
                <w:sz w:val="20"/>
              </w:rPr>
            </w:pPr>
          </w:p>
        </w:tc>
        <w:tc>
          <w:tcPr>
            <w:tcW w:w="1440" w:type="dxa"/>
            <w:tcBorders>
              <w:top w:val="single" w:sz="4" w:space="0" w:color="auto"/>
              <w:left w:val="nil"/>
              <w:bottom w:val="nil"/>
              <w:right w:val="nil"/>
            </w:tcBorders>
          </w:tcPr>
          <w:p w14:paraId="143BCD4A" w14:textId="77777777" w:rsidR="006F0E2E" w:rsidRPr="006816FD" w:rsidRDefault="006F0E2E" w:rsidP="006F3E09">
            <w:pPr>
              <w:jc w:val="right"/>
              <w:rPr>
                <w:rFonts w:ascii="Arial" w:hAnsi="Arial" w:cs="Arial"/>
                <w:color w:val="000000"/>
                <w:sz w:val="20"/>
              </w:rPr>
            </w:pPr>
          </w:p>
        </w:tc>
      </w:tr>
      <w:tr w:rsidR="006F0E2E" w:rsidRPr="006816FD" w14:paraId="4505104D" w14:textId="77777777" w:rsidTr="006F0E2E">
        <w:trPr>
          <w:trHeight w:hRule="exact" w:val="300"/>
          <w:jc w:val="center"/>
        </w:trPr>
        <w:tc>
          <w:tcPr>
            <w:tcW w:w="4721" w:type="dxa"/>
            <w:tcBorders>
              <w:top w:val="nil"/>
              <w:left w:val="nil"/>
              <w:bottom w:val="nil"/>
              <w:right w:val="nil"/>
            </w:tcBorders>
            <w:shd w:val="clear" w:color="auto" w:fill="auto"/>
          </w:tcPr>
          <w:p w14:paraId="7652DA3D" w14:textId="77777777" w:rsidR="006F0E2E" w:rsidRPr="006816FD" w:rsidRDefault="006F0E2E">
            <w:pPr>
              <w:jc w:val="both"/>
              <w:rPr>
                <w:rFonts w:ascii="Arial" w:hAnsi="Arial" w:cs="Arial"/>
                <w:color w:val="000000"/>
                <w:sz w:val="20"/>
              </w:rPr>
            </w:pPr>
            <w:r w:rsidRPr="006816FD">
              <w:rPr>
                <w:rFonts w:ascii="Arial" w:hAnsi="Arial" w:cs="Arial"/>
                <w:b/>
                <w:bCs/>
                <w:color w:val="000000"/>
                <w:sz w:val="20"/>
              </w:rPr>
              <w:t>END OF YEAR (Audit Report)</w:t>
            </w:r>
          </w:p>
        </w:tc>
        <w:tc>
          <w:tcPr>
            <w:tcW w:w="671" w:type="dxa"/>
            <w:tcBorders>
              <w:top w:val="nil"/>
              <w:left w:val="nil"/>
              <w:bottom w:val="nil"/>
              <w:right w:val="nil"/>
            </w:tcBorders>
            <w:shd w:val="clear" w:color="auto" w:fill="auto"/>
            <w:hideMark/>
          </w:tcPr>
          <w:p w14:paraId="638B4CFF" w14:textId="77777777" w:rsidR="006F0E2E" w:rsidRPr="006816FD" w:rsidRDefault="006F0E2E" w:rsidP="00927386">
            <w:pPr>
              <w:jc w:val="right"/>
              <w:rPr>
                <w:rFonts w:ascii="Arial" w:hAnsi="Arial" w:cs="Arial"/>
                <w:color w:val="000000"/>
                <w:sz w:val="20"/>
              </w:rPr>
            </w:pPr>
            <w:r w:rsidRPr="006816FD">
              <w:rPr>
                <w:rFonts w:ascii="Arial" w:hAnsi="Arial" w:cs="Arial"/>
                <w:b/>
                <w:bCs/>
                <w:color w:val="000000"/>
                <w:sz w:val="20"/>
              </w:rPr>
              <w:t>$</w:t>
            </w:r>
          </w:p>
        </w:tc>
        <w:tc>
          <w:tcPr>
            <w:tcW w:w="1440" w:type="dxa"/>
            <w:tcBorders>
              <w:top w:val="nil"/>
              <w:left w:val="nil"/>
              <w:bottom w:val="double" w:sz="6" w:space="0" w:color="auto"/>
              <w:right w:val="nil"/>
            </w:tcBorders>
          </w:tcPr>
          <w:p w14:paraId="7215AFC5" w14:textId="799EEF90" w:rsidR="006F0E2E" w:rsidRPr="006816FD" w:rsidRDefault="00CE657E" w:rsidP="00927386">
            <w:pPr>
              <w:jc w:val="right"/>
              <w:rPr>
                <w:rFonts w:ascii="Arial" w:hAnsi="Arial" w:cs="Arial"/>
                <w:color w:val="000000"/>
                <w:sz w:val="20"/>
              </w:rPr>
            </w:pPr>
            <w:r w:rsidRPr="00CE657E">
              <w:rPr>
                <w:rFonts w:ascii="Arial" w:hAnsi="Arial" w:cs="Arial"/>
                <w:b/>
                <w:bCs/>
                <w:color w:val="000000"/>
                <w:sz w:val="20"/>
              </w:rPr>
              <w:t>505,496,135</w:t>
            </w:r>
          </w:p>
        </w:tc>
      </w:tr>
    </w:tbl>
    <w:p w14:paraId="6E4F3E00" w14:textId="77777777" w:rsidR="00F155BB" w:rsidRPr="006816FD" w:rsidRDefault="00F155BB" w:rsidP="001A468F">
      <w:pPr>
        <w:pStyle w:val="BodyText"/>
        <w:spacing w:after="0"/>
        <w:rPr>
          <w:rFonts w:cs="Arial"/>
          <w:spacing w:val="-3"/>
        </w:rPr>
      </w:pPr>
    </w:p>
    <w:p w14:paraId="710A72A5" w14:textId="77777777" w:rsidR="001D5BE3" w:rsidRDefault="001D5BE3" w:rsidP="001A468F">
      <w:pPr>
        <w:pStyle w:val="BodyText"/>
        <w:spacing w:after="0"/>
        <w:rPr>
          <w:rFonts w:cs="Arial"/>
          <w:b/>
          <w:spacing w:val="-3"/>
        </w:rPr>
      </w:pPr>
    </w:p>
    <w:p w14:paraId="38DD0C78" w14:textId="77777777" w:rsidR="001D5BE3" w:rsidRDefault="001D5BE3" w:rsidP="001A468F">
      <w:pPr>
        <w:pStyle w:val="BodyText"/>
        <w:spacing w:after="0"/>
        <w:rPr>
          <w:rFonts w:cs="Arial"/>
          <w:b/>
          <w:spacing w:val="-3"/>
        </w:rPr>
      </w:pPr>
    </w:p>
    <w:p w14:paraId="13341A0F" w14:textId="77777777" w:rsidR="001D5BE3" w:rsidRDefault="001D5BE3" w:rsidP="001A468F">
      <w:pPr>
        <w:pStyle w:val="BodyText"/>
        <w:spacing w:after="0"/>
        <w:rPr>
          <w:rFonts w:cs="Arial"/>
          <w:b/>
          <w:spacing w:val="-3"/>
        </w:rPr>
      </w:pPr>
    </w:p>
    <w:p w14:paraId="50D86958" w14:textId="77777777" w:rsidR="00F155BB" w:rsidRPr="006816FD" w:rsidRDefault="00C555B8" w:rsidP="001A468F">
      <w:pPr>
        <w:pStyle w:val="BodyText"/>
        <w:spacing w:after="0"/>
        <w:rPr>
          <w:rFonts w:cs="Arial"/>
          <w:b/>
          <w:spacing w:val="-3"/>
        </w:rPr>
      </w:pPr>
      <w:r w:rsidRPr="006816FD">
        <w:rPr>
          <w:rFonts w:cs="Arial"/>
          <w:b/>
          <w:spacing w:val="-3"/>
        </w:rPr>
        <w:t>Participants</w:t>
      </w:r>
    </w:p>
    <w:p w14:paraId="194E4224" w14:textId="77777777" w:rsidR="00C555B8" w:rsidRPr="006816FD" w:rsidRDefault="00C555B8" w:rsidP="001A468F">
      <w:pPr>
        <w:pStyle w:val="BodyText"/>
        <w:spacing w:after="0"/>
        <w:rPr>
          <w:rFonts w:cs="Arial"/>
          <w:b/>
          <w:spacing w:val="-3"/>
        </w:rPr>
      </w:pPr>
    </w:p>
    <w:p w14:paraId="6A4C2B81" w14:textId="5A3788C5" w:rsidR="003C5637" w:rsidRPr="006816FD" w:rsidRDefault="003C5637" w:rsidP="003C5637">
      <w:pPr>
        <w:pStyle w:val="BodyText"/>
        <w:spacing w:after="240"/>
        <w:rPr>
          <w:rFonts w:cs="Arial"/>
          <w:spacing w:val="-3"/>
        </w:rPr>
      </w:pPr>
      <w:r w:rsidRPr="006816FD">
        <w:rPr>
          <w:rFonts w:cs="Arial"/>
          <w:spacing w:val="-3"/>
        </w:rPr>
        <w:t xml:space="preserve">A total of </w:t>
      </w:r>
      <w:r w:rsidR="00E04603">
        <w:rPr>
          <w:rFonts w:cs="Arial"/>
          <w:spacing w:val="-3"/>
        </w:rPr>
        <w:t>1,9</w:t>
      </w:r>
      <w:r w:rsidR="00A26806">
        <w:rPr>
          <w:rFonts w:cs="Arial"/>
          <w:spacing w:val="-3"/>
        </w:rPr>
        <w:t>03</w:t>
      </w:r>
      <w:r w:rsidR="00E742A2" w:rsidRPr="006816FD">
        <w:rPr>
          <w:rFonts w:cs="Arial"/>
          <w:spacing w:val="-3"/>
        </w:rPr>
        <w:t xml:space="preserve"> p</w:t>
      </w:r>
      <w:r w:rsidRPr="006816FD">
        <w:rPr>
          <w:rFonts w:cs="Arial"/>
          <w:spacing w:val="-3"/>
        </w:rPr>
        <w:t>ersons were participants or beneficiaries of the Plan at the end of the 20</w:t>
      </w:r>
      <w:r w:rsidR="00742552">
        <w:rPr>
          <w:rFonts w:cs="Arial"/>
          <w:spacing w:val="-3"/>
        </w:rPr>
        <w:t>2</w:t>
      </w:r>
      <w:r w:rsidR="00A26806">
        <w:rPr>
          <w:rFonts w:cs="Arial"/>
          <w:spacing w:val="-3"/>
        </w:rPr>
        <w:t>1</w:t>
      </w:r>
      <w:r w:rsidRPr="006816FD">
        <w:rPr>
          <w:rFonts w:cs="Arial"/>
          <w:spacing w:val="-3"/>
        </w:rPr>
        <w:t xml:space="preserve"> </w:t>
      </w:r>
      <w:r w:rsidR="00E56470" w:rsidRPr="006816FD">
        <w:rPr>
          <w:rFonts w:cs="Arial"/>
          <w:spacing w:val="-3"/>
        </w:rPr>
        <w:t>p</w:t>
      </w:r>
      <w:r w:rsidRPr="006816FD">
        <w:rPr>
          <w:rFonts w:cs="Arial"/>
          <w:spacing w:val="-3"/>
        </w:rPr>
        <w:t xml:space="preserve">lan </w:t>
      </w:r>
      <w:r w:rsidR="00E56470" w:rsidRPr="006816FD">
        <w:rPr>
          <w:rFonts w:cs="Arial"/>
          <w:spacing w:val="-3"/>
        </w:rPr>
        <w:t>y</w:t>
      </w:r>
      <w:r w:rsidRPr="006816FD">
        <w:rPr>
          <w:rFonts w:cs="Arial"/>
          <w:spacing w:val="-3"/>
        </w:rPr>
        <w:t xml:space="preserve">ear, including </w:t>
      </w:r>
      <w:r w:rsidR="00A26806">
        <w:rPr>
          <w:rFonts w:cs="Arial"/>
          <w:spacing w:val="-3"/>
        </w:rPr>
        <w:t>29</w:t>
      </w:r>
      <w:r w:rsidR="002D732A">
        <w:rPr>
          <w:rFonts w:cs="Arial"/>
          <w:spacing w:val="-3"/>
        </w:rPr>
        <w:t>6</w:t>
      </w:r>
      <w:r w:rsidR="007D7559">
        <w:rPr>
          <w:rFonts w:cs="Arial"/>
          <w:spacing w:val="-3"/>
        </w:rPr>
        <w:t xml:space="preserve"> a</w:t>
      </w:r>
      <w:r w:rsidRPr="006816FD">
        <w:rPr>
          <w:rFonts w:cs="Arial"/>
          <w:spacing w:val="-3"/>
        </w:rPr>
        <w:t xml:space="preserve">ctive participants, </w:t>
      </w:r>
      <w:r w:rsidR="00EF6130" w:rsidRPr="006816FD">
        <w:rPr>
          <w:rFonts w:cs="Arial"/>
          <w:spacing w:val="-3"/>
        </w:rPr>
        <w:t>1,</w:t>
      </w:r>
      <w:r w:rsidR="00A26806">
        <w:rPr>
          <w:rFonts w:cs="Arial"/>
          <w:spacing w:val="-3"/>
        </w:rPr>
        <w:t>409</w:t>
      </w:r>
      <w:r w:rsidR="00A26806" w:rsidRPr="006816FD">
        <w:rPr>
          <w:rFonts w:cs="Arial"/>
          <w:spacing w:val="-3"/>
        </w:rPr>
        <w:t xml:space="preserve"> </w:t>
      </w:r>
      <w:r w:rsidR="007E027B" w:rsidRPr="006816FD">
        <w:rPr>
          <w:rFonts w:cs="Arial"/>
          <w:spacing w:val="-3"/>
        </w:rPr>
        <w:t xml:space="preserve">beneficiaries and retirees currently receiving benefits, </w:t>
      </w:r>
      <w:r w:rsidR="000B182C">
        <w:rPr>
          <w:rFonts w:cs="Arial"/>
          <w:spacing w:val="-3"/>
        </w:rPr>
        <w:t>15</w:t>
      </w:r>
      <w:r w:rsidR="00A26806">
        <w:rPr>
          <w:rFonts w:cs="Arial"/>
          <w:spacing w:val="-3"/>
        </w:rPr>
        <w:t>7</w:t>
      </w:r>
      <w:r w:rsidR="000B182C">
        <w:rPr>
          <w:rFonts w:cs="Arial"/>
          <w:spacing w:val="-3"/>
        </w:rPr>
        <w:t xml:space="preserve"> </w:t>
      </w:r>
      <w:r w:rsidR="007E027B" w:rsidRPr="006816FD">
        <w:rPr>
          <w:rFonts w:cs="Arial"/>
          <w:spacing w:val="-3"/>
        </w:rPr>
        <w:t xml:space="preserve">terminated or disabled former participants not yet receiving benefits and </w:t>
      </w:r>
      <w:r w:rsidR="00A26806">
        <w:rPr>
          <w:rFonts w:cs="Arial"/>
          <w:spacing w:val="-3"/>
        </w:rPr>
        <w:t>41</w:t>
      </w:r>
      <w:r w:rsidR="007E027B" w:rsidRPr="006816FD">
        <w:rPr>
          <w:rFonts w:cs="Arial"/>
          <w:spacing w:val="-3"/>
        </w:rPr>
        <w:t xml:space="preserve"> participants in the </w:t>
      </w:r>
      <w:r w:rsidR="002E72BC" w:rsidRPr="006816FD">
        <w:rPr>
          <w:rFonts w:cs="Arial"/>
          <w:spacing w:val="-3"/>
        </w:rPr>
        <w:t>D</w:t>
      </w:r>
      <w:r w:rsidR="007E027B" w:rsidRPr="006816FD">
        <w:rPr>
          <w:rFonts w:cs="Arial"/>
          <w:spacing w:val="-3"/>
        </w:rPr>
        <w:t xml:space="preserve">eferred </w:t>
      </w:r>
      <w:r w:rsidR="002E72BC" w:rsidRPr="006816FD">
        <w:rPr>
          <w:rFonts w:cs="Arial"/>
          <w:spacing w:val="-3"/>
        </w:rPr>
        <w:t>R</w:t>
      </w:r>
      <w:r w:rsidR="007E027B" w:rsidRPr="006816FD">
        <w:rPr>
          <w:rFonts w:cs="Arial"/>
          <w:spacing w:val="-3"/>
        </w:rPr>
        <w:t xml:space="preserve">etirement </w:t>
      </w:r>
      <w:r w:rsidR="002E72BC" w:rsidRPr="006816FD">
        <w:rPr>
          <w:rFonts w:cs="Arial"/>
          <w:spacing w:val="-3"/>
        </w:rPr>
        <w:t>O</w:t>
      </w:r>
      <w:r w:rsidR="007E027B" w:rsidRPr="006816FD">
        <w:rPr>
          <w:rFonts w:cs="Arial"/>
          <w:spacing w:val="-3"/>
        </w:rPr>
        <w:t xml:space="preserve">ption </w:t>
      </w:r>
      <w:r w:rsidR="002E72BC" w:rsidRPr="006816FD">
        <w:rPr>
          <w:rFonts w:cs="Arial"/>
          <w:spacing w:val="-3"/>
        </w:rPr>
        <w:t>P</w:t>
      </w:r>
      <w:r w:rsidR="007E027B" w:rsidRPr="006816FD">
        <w:rPr>
          <w:rFonts w:cs="Arial"/>
          <w:spacing w:val="-3"/>
        </w:rPr>
        <w:t>rogram (“DRO</w:t>
      </w:r>
      <w:r w:rsidRPr="006816FD">
        <w:rPr>
          <w:rFonts w:cs="Arial"/>
          <w:spacing w:val="-3"/>
        </w:rPr>
        <w:t>P”).</w:t>
      </w:r>
    </w:p>
    <w:p w14:paraId="072DD832" w14:textId="77777777" w:rsidR="00935FE7" w:rsidRPr="006816FD" w:rsidRDefault="007E027B">
      <w:pPr>
        <w:pStyle w:val="BodyText"/>
        <w:spacing w:after="240"/>
        <w:rPr>
          <w:rFonts w:cs="Arial"/>
        </w:rPr>
      </w:pPr>
      <w:bookmarkStart w:id="1" w:name="_Hlk528587952"/>
      <w:r w:rsidRPr="006816FD">
        <w:rPr>
          <w:rFonts w:cs="Arial"/>
          <w:b/>
          <w:bCs/>
        </w:rPr>
        <w:t>Budgetary Obligations</w:t>
      </w:r>
      <w:r w:rsidRPr="006816FD">
        <w:rPr>
          <w:rFonts w:cs="Arial"/>
        </w:rPr>
        <w:t xml:space="preserve"> </w:t>
      </w:r>
    </w:p>
    <w:p w14:paraId="04CBB1F6" w14:textId="1F86C9E1" w:rsidR="00935FE7" w:rsidRPr="006816FD" w:rsidRDefault="007E027B" w:rsidP="004B3117">
      <w:pPr>
        <w:pStyle w:val="BodyText"/>
        <w:tabs>
          <w:tab w:val="left" w:pos="7290"/>
        </w:tabs>
        <w:spacing w:after="120"/>
        <w:rPr>
          <w:rFonts w:cs="Arial"/>
          <w:spacing w:val="-3"/>
        </w:rPr>
      </w:pPr>
      <w:r w:rsidRPr="006816FD">
        <w:rPr>
          <w:rFonts w:cs="Arial"/>
          <w:spacing w:val="-3"/>
        </w:rPr>
        <w:t>The present and future budgetary obligations of MARTA necessitated by its benefit commitments represented by the Plan, expressed as an annual cost, are comprised of (1) the annual normal cost of the Plan, (2) the annual amortization payment on the unfunded actuarial accrued liability (“UAAL”) of the Plan and (3) the expense load of the Plan.  In the January 1, 20</w:t>
      </w:r>
      <w:r w:rsidR="00A65245">
        <w:rPr>
          <w:rFonts w:cs="Arial"/>
          <w:spacing w:val="-3"/>
        </w:rPr>
        <w:t>2</w:t>
      </w:r>
      <w:r w:rsidR="00A26806">
        <w:rPr>
          <w:rFonts w:cs="Arial"/>
          <w:spacing w:val="-3"/>
        </w:rPr>
        <w:t>2</w:t>
      </w:r>
      <w:r w:rsidRPr="006816FD">
        <w:rPr>
          <w:rFonts w:cs="Arial"/>
          <w:spacing w:val="-3"/>
        </w:rPr>
        <w:t xml:space="preserve"> Actuarial Valuation Report on the Plan, the Plan actuary has determined the annual cost as follows:</w:t>
      </w:r>
    </w:p>
    <w:p w14:paraId="1576DBE6" w14:textId="77777777" w:rsidR="00935FE7" w:rsidRPr="006816FD" w:rsidRDefault="00935FE7">
      <w:pPr>
        <w:pStyle w:val="BodyText"/>
        <w:spacing w:after="120"/>
        <w:rPr>
          <w:rFonts w:cs="Arial"/>
          <w:spacing w:val="-3"/>
        </w:rPr>
      </w:pPr>
    </w:p>
    <w:tbl>
      <w:tblPr>
        <w:tblW w:w="0" w:type="auto"/>
        <w:jc w:val="center"/>
        <w:tblLook w:val="01E0" w:firstRow="1" w:lastRow="1" w:firstColumn="1" w:lastColumn="1" w:noHBand="0" w:noVBand="0"/>
      </w:tblPr>
      <w:tblGrid>
        <w:gridCol w:w="272"/>
        <w:gridCol w:w="5174"/>
        <w:gridCol w:w="360"/>
        <w:gridCol w:w="1846"/>
      </w:tblGrid>
      <w:tr w:rsidR="00935FE7" w:rsidRPr="004414DC" w14:paraId="4DC4EA26" w14:textId="77777777" w:rsidTr="00A753F3">
        <w:trPr>
          <w:jc w:val="center"/>
        </w:trPr>
        <w:tc>
          <w:tcPr>
            <w:tcW w:w="272" w:type="dxa"/>
          </w:tcPr>
          <w:p w14:paraId="0BDEBC82" w14:textId="77777777" w:rsidR="00935FE7" w:rsidRPr="006816FD" w:rsidRDefault="00935FE7">
            <w:pPr>
              <w:pStyle w:val="BodyText"/>
              <w:spacing w:after="120"/>
              <w:rPr>
                <w:rFonts w:cs="Arial"/>
                <w:spacing w:val="-3"/>
              </w:rPr>
            </w:pPr>
            <w:bookmarkStart w:id="2" w:name="_Hlk528597154"/>
          </w:p>
        </w:tc>
        <w:tc>
          <w:tcPr>
            <w:tcW w:w="5174" w:type="dxa"/>
          </w:tcPr>
          <w:p w14:paraId="7AF2724F" w14:textId="77777777" w:rsidR="00935FE7" w:rsidRPr="00C77AD7" w:rsidRDefault="007E027B" w:rsidP="00A753F3">
            <w:pPr>
              <w:pStyle w:val="BodyText"/>
              <w:spacing w:after="120"/>
              <w:jc w:val="left"/>
              <w:rPr>
                <w:rFonts w:cs="Arial"/>
                <w:spacing w:val="-3"/>
              </w:rPr>
            </w:pPr>
            <w:r w:rsidRPr="00C77AD7">
              <w:rPr>
                <w:rFonts w:cs="Arial"/>
                <w:spacing w:val="-3"/>
              </w:rPr>
              <w:t>Normal Cost</w:t>
            </w:r>
          </w:p>
        </w:tc>
        <w:tc>
          <w:tcPr>
            <w:tcW w:w="360" w:type="dxa"/>
          </w:tcPr>
          <w:p w14:paraId="42182B8C" w14:textId="77777777" w:rsidR="00935FE7" w:rsidRPr="00C11E3C" w:rsidRDefault="00935FE7">
            <w:pPr>
              <w:pStyle w:val="BodyText"/>
              <w:spacing w:after="120"/>
              <w:rPr>
                <w:rFonts w:cs="Arial"/>
                <w:spacing w:val="-3"/>
              </w:rPr>
            </w:pPr>
          </w:p>
        </w:tc>
        <w:tc>
          <w:tcPr>
            <w:tcW w:w="1846" w:type="dxa"/>
          </w:tcPr>
          <w:p w14:paraId="344B7499" w14:textId="54D03DE4" w:rsidR="00935FE7" w:rsidRPr="00C11E3C" w:rsidRDefault="00741BA5" w:rsidP="0033418F">
            <w:pPr>
              <w:pStyle w:val="BodyText"/>
              <w:tabs>
                <w:tab w:val="left" w:pos="216"/>
                <w:tab w:val="left" w:pos="324"/>
              </w:tabs>
              <w:spacing w:after="120"/>
              <w:ind w:left="-108"/>
              <w:jc w:val="center"/>
              <w:rPr>
                <w:rFonts w:cs="Arial"/>
                <w:spacing w:val="-3"/>
              </w:rPr>
            </w:pPr>
            <w:r w:rsidRPr="00C11E3C">
              <w:rPr>
                <w:rFonts w:cs="Arial"/>
                <w:spacing w:val="-3"/>
              </w:rPr>
              <w:t xml:space="preserve">    </w:t>
            </w:r>
            <w:r w:rsidR="0033418F" w:rsidRPr="00C11E3C">
              <w:rPr>
                <w:rFonts w:cs="Arial"/>
                <w:spacing w:val="-3"/>
              </w:rPr>
              <w:t xml:space="preserve"> </w:t>
            </w:r>
            <w:r w:rsidRPr="00C11E3C">
              <w:rPr>
                <w:rFonts w:cs="Arial"/>
                <w:spacing w:val="-3"/>
              </w:rPr>
              <w:t xml:space="preserve"> </w:t>
            </w:r>
            <w:r w:rsidR="0033418F" w:rsidRPr="00C11E3C">
              <w:rPr>
                <w:rFonts w:cs="Arial"/>
                <w:spacing w:val="-3"/>
              </w:rPr>
              <w:t xml:space="preserve"> </w:t>
            </w:r>
            <w:r w:rsidRPr="00C11E3C">
              <w:rPr>
                <w:rFonts w:cs="Arial"/>
                <w:spacing w:val="-3"/>
              </w:rPr>
              <w:t xml:space="preserve">$ </w:t>
            </w:r>
            <w:r w:rsidR="004B3117" w:rsidRPr="00C11E3C">
              <w:rPr>
                <w:rFonts w:cs="Arial"/>
                <w:spacing w:val="-3"/>
              </w:rPr>
              <w:t xml:space="preserve">      </w:t>
            </w:r>
            <w:r w:rsidR="00044391" w:rsidRPr="00C11E3C">
              <w:rPr>
                <w:rFonts w:cs="Arial"/>
                <w:spacing w:val="-3"/>
              </w:rPr>
              <w:t>2,</w:t>
            </w:r>
            <w:r w:rsidR="00854826">
              <w:rPr>
                <w:rFonts w:cs="Arial"/>
                <w:spacing w:val="-3"/>
              </w:rPr>
              <w:t>00</w:t>
            </w:r>
            <w:r w:rsidR="002F5461" w:rsidRPr="00C11E3C">
              <w:rPr>
                <w:rFonts w:cs="Arial"/>
                <w:spacing w:val="-3"/>
              </w:rPr>
              <w:t>0,000</w:t>
            </w:r>
          </w:p>
        </w:tc>
      </w:tr>
      <w:tr w:rsidR="007B746A" w:rsidRPr="007B746A" w14:paraId="1A2AC695" w14:textId="77777777" w:rsidTr="00A753F3">
        <w:trPr>
          <w:jc w:val="center"/>
        </w:trPr>
        <w:tc>
          <w:tcPr>
            <w:tcW w:w="272" w:type="dxa"/>
          </w:tcPr>
          <w:p w14:paraId="1657821C" w14:textId="77777777" w:rsidR="00935FE7" w:rsidRPr="004414DC" w:rsidRDefault="00935FE7">
            <w:pPr>
              <w:pStyle w:val="BodyText"/>
              <w:spacing w:after="120"/>
              <w:rPr>
                <w:rFonts w:cs="Arial"/>
                <w:spacing w:val="-3"/>
                <w:highlight w:val="yellow"/>
              </w:rPr>
            </w:pPr>
          </w:p>
        </w:tc>
        <w:tc>
          <w:tcPr>
            <w:tcW w:w="5174" w:type="dxa"/>
          </w:tcPr>
          <w:p w14:paraId="36271888" w14:textId="54E7404F" w:rsidR="00935FE7" w:rsidRPr="00C77AD7" w:rsidRDefault="007E027B" w:rsidP="00A753F3">
            <w:pPr>
              <w:pStyle w:val="BodyText"/>
              <w:spacing w:after="120"/>
              <w:jc w:val="left"/>
              <w:rPr>
                <w:rFonts w:cs="Arial"/>
                <w:spacing w:val="-3"/>
              </w:rPr>
            </w:pPr>
            <w:r w:rsidRPr="00C77AD7">
              <w:rPr>
                <w:rFonts w:cs="Arial"/>
                <w:spacing w:val="-3"/>
              </w:rPr>
              <w:t>Amortization Payment on UAAL</w:t>
            </w:r>
            <w:r w:rsidR="00A753F3" w:rsidRPr="00C77AD7">
              <w:rPr>
                <w:rFonts w:cs="Arial"/>
                <w:spacing w:val="-3"/>
              </w:rPr>
              <w:t xml:space="preserve"> </w:t>
            </w:r>
          </w:p>
        </w:tc>
        <w:tc>
          <w:tcPr>
            <w:tcW w:w="360" w:type="dxa"/>
          </w:tcPr>
          <w:p w14:paraId="14E4E144" w14:textId="77777777" w:rsidR="00935FE7" w:rsidRPr="00C11E3C" w:rsidRDefault="00935FE7">
            <w:pPr>
              <w:pStyle w:val="BodyText"/>
              <w:spacing w:after="120"/>
              <w:rPr>
                <w:rFonts w:cs="Arial"/>
                <w:spacing w:val="-3"/>
              </w:rPr>
            </w:pPr>
          </w:p>
        </w:tc>
        <w:tc>
          <w:tcPr>
            <w:tcW w:w="1846" w:type="dxa"/>
          </w:tcPr>
          <w:p w14:paraId="2BA2A899" w14:textId="7B1153DF" w:rsidR="00935FE7" w:rsidRPr="003F7823" w:rsidRDefault="00CF6405" w:rsidP="00CF6405">
            <w:pPr>
              <w:pStyle w:val="BodyText"/>
              <w:tabs>
                <w:tab w:val="left" w:pos="324"/>
                <w:tab w:val="left" w:pos="528"/>
              </w:tabs>
              <w:spacing w:after="120"/>
              <w:jc w:val="right"/>
              <w:rPr>
                <w:rFonts w:cs="Arial"/>
                <w:spacing w:val="-3"/>
                <w:u w:val="single"/>
              </w:rPr>
            </w:pPr>
            <w:r>
              <w:rPr>
                <w:rFonts w:cs="Arial"/>
                <w:spacing w:val="-3"/>
                <w:u w:val="single"/>
              </w:rPr>
              <w:t xml:space="preserve">     </w:t>
            </w:r>
            <w:r w:rsidR="00A26806" w:rsidRPr="00A26806">
              <w:rPr>
                <w:rFonts w:cs="Arial"/>
                <w:spacing w:val="-3"/>
                <w:u w:val="single"/>
              </w:rPr>
              <w:t>4,917,891</w:t>
            </w:r>
          </w:p>
        </w:tc>
      </w:tr>
      <w:tr w:rsidR="00A753F3" w:rsidRPr="004414DC" w14:paraId="7DDCDEEB" w14:textId="77777777" w:rsidTr="00A753F3">
        <w:trPr>
          <w:jc w:val="center"/>
        </w:trPr>
        <w:tc>
          <w:tcPr>
            <w:tcW w:w="272" w:type="dxa"/>
          </w:tcPr>
          <w:p w14:paraId="7611032A" w14:textId="77777777" w:rsidR="00A753F3" w:rsidRPr="004414DC" w:rsidRDefault="00A753F3">
            <w:pPr>
              <w:pStyle w:val="BodyText"/>
              <w:spacing w:after="120"/>
              <w:rPr>
                <w:rFonts w:cs="Arial"/>
                <w:spacing w:val="-3"/>
                <w:highlight w:val="yellow"/>
              </w:rPr>
            </w:pPr>
          </w:p>
        </w:tc>
        <w:tc>
          <w:tcPr>
            <w:tcW w:w="5174" w:type="dxa"/>
          </w:tcPr>
          <w:p w14:paraId="05B35594" w14:textId="77777777" w:rsidR="00A753F3" w:rsidRPr="00C77AD7" w:rsidRDefault="00A753F3" w:rsidP="00A753F3">
            <w:pPr>
              <w:pStyle w:val="BodyText"/>
              <w:spacing w:after="120"/>
              <w:jc w:val="left"/>
              <w:rPr>
                <w:rFonts w:cs="Arial"/>
                <w:spacing w:val="-3"/>
              </w:rPr>
            </w:pPr>
            <w:r w:rsidRPr="00C77AD7">
              <w:rPr>
                <w:rFonts w:cs="Arial"/>
                <w:spacing w:val="-3"/>
              </w:rPr>
              <w:t>Total Cost</w:t>
            </w:r>
          </w:p>
        </w:tc>
        <w:tc>
          <w:tcPr>
            <w:tcW w:w="360" w:type="dxa"/>
          </w:tcPr>
          <w:p w14:paraId="4BE6B0DC" w14:textId="77777777" w:rsidR="00A753F3" w:rsidRPr="00C11E3C" w:rsidRDefault="00A753F3">
            <w:pPr>
              <w:pStyle w:val="BodyText"/>
              <w:spacing w:after="120"/>
              <w:rPr>
                <w:rFonts w:cs="Arial"/>
                <w:spacing w:val="-3"/>
              </w:rPr>
            </w:pPr>
          </w:p>
        </w:tc>
        <w:tc>
          <w:tcPr>
            <w:tcW w:w="1846" w:type="dxa"/>
          </w:tcPr>
          <w:p w14:paraId="6C1BB432" w14:textId="7E14CD67" w:rsidR="00A753F3" w:rsidRPr="004E3B10" w:rsidRDefault="00000522" w:rsidP="00000522">
            <w:pPr>
              <w:pStyle w:val="BodyText"/>
              <w:tabs>
                <w:tab w:val="left" w:pos="300"/>
                <w:tab w:val="left" w:pos="495"/>
              </w:tabs>
              <w:spacing w:after="120"/>
              <w:jc w:val="right"/>
              <w:rPr>
                <w:rFonts w:cs="Arial"/>
                <w:spacing w:val="-3"/>
                <w:u w:val="single"/>
              </w:rPr>
            </w:pPr>
            <w:r>
              <w:rPr>
                <w:rFonts w:cs="Arial"/>
                <w:spacing w:val="-3"/>
              </w:rPr>
              <w:t xml:space="preserve">   </w:t>
            </w:r>
            <w:r>
              <w:rPr>
                <w:rFonts w:cs="Arial"/>
                <w:spacing w:val="-3"/>
                <w:u w:val="single"/>
              </w:rPr>
              <w:t xml:space="preserve">     </w:t>
            </w:r>
            <w:r w:rsidR="00A26806" w:rsidRPr="004E3B10">
              <w:rPr>
                <w:rFonts w:cs="Arial"/>
                <w:spacing w:val="-3"/>
                <w:u w:val="single"/>
              </w:rPr>
              <w:t>6,917,891</w:t>
            </w:r>
          </w:p>
        </w:tc>
      </w:tr>
      <w:tr w:rsidR="00A753F3" w:rsidRPr="004414DC" w14:paraId="5A87AFE7" w14:textId="77777777" w:rsidTr="00DC5D4C">
        <w:trPr>
          <w:jc w:val="center"/>
        </w:trPr>
        <w:tc>
          <w:tcPr>
            <w:tcW w:w="272" w:type="dxa"/>
          </w:tcPr>
          <w:p w14:paraId="1D60C7D9" w14:textId="77777777" w:rsidR="00A753F3" w:rsidRPr="004414DC" w:rsidRDefault="00A753F3">
            <w:pPr>
              <w:pStyle w:val="BodyText"/>
              <w:spacing w:after="120"/>
              <w:rPr>
                <w:rFonts w:cs="Arial"/>
                <w:spacing w:val="-3"/>
                <w:highlight w:val="yellow"/>
              </w:rPr>
            </w:pPr>
          </w:p>
        </w:tc>
        <w:tc>
          <w:tcPr>
            <w:tcW w:w="5174" w:type="dxa"/>
          </w:tcPr>
          <w:p w14:paraId="24DF87A8" w14:textId="62BC631B" w:rsidR="00A753F3" w:rsidRPr="00C77AD7" w:rsidRDefault="00031D2E" w:rsidP="00EF6130">
            <w:pPr>
              <w:pStyle w:val="BodyText"/>
              <w:spacing w:after="120"/>
              <w:jc w:val="left"/>
              <w:rPr>
                <w:rFonts w:cs="Arial"/>
                <w:spacing w:val="-3"/>
              </w:rPr>
            </w:pPr>
            <w:r>
              <w:rPr>
                <w:rFonts w:cs="Arial"/>
                <w:spacing w:val="-3"/>
              </w:rPr>
              <w:t>Expense</w:t>
            </w:r>
            <w:r w:rsidR="00AC76CA">
              <w:rPr>
                <w:rFonts w:cs="Arial"/>
                <w:spacing w:val="-3"/>
              </w:rPr>
              <w:t>s</w:t>
            </w:r>
          </w:p>
        </w:tc>
        <w:tc>
          <w:tcPr>
            <w:tcW w:w="360" w:type="dxa"/>
          </w:tcPr>
          <w:p w14:paraId="2E63F7DF" w14:textId="77777777" w:rsidR="00A753F3" w:rsidRPr="00C11E3C" w:rsidRDefault="00A753F3">
            <w:pPr>
              <w:pStyle w:val="BodyText"/>
              <w:spacing w:after="120"/>
              <w:rPr>
                <w:rFonts w:cs="Arial"/>
                <w:spacing w:val="-3"/>
              </w:rPr>
            </w:pPr>
          </w:p>
        </w:tc>
        <w:tc>
          <w:tcPr>
            <w:tcW w:w="1846" w:type="dxa"/>
          </w:tcPr>
          <w:p w14:paraId="4C28F68F" w14:textId="3E96677B" w:rsidR="00A753F3" w:rsidRPr="00CD6904" w:rsidRDefault="006877E8" w:rsidP="002B4920">
            <w:pPr>
              <w:pStyle w:val="BodyText"/>
              <w:spacing w:after="120"/>
              <w:jc w:val="right"/>
              <w:rPr>
                <w:rFonts w:cs="Arial"/>
                <w:spacing w:val="-3"/>
              </w:rPr>
            </w:pPr>
            <w:r w:rsidRPr="00CD6904">
              <w:rPr>
                <w:rFonts w:cs="Arial"/>
                <w:spacing w:val="-3"/>
              </w:rPr>
              <w:t xml:space="preserve">        </w:t>
            </w:r>
            <w:r w:rsidR="00A26806" w:rsidRPr="00CD6904">
              <w:rPr>
                <w:rFonts w:cs="Arial"/>
                <w:spacing w:val="-3"/>
              </w:rPr>
              <w:t>447,594</w:t>
            </w:r>
          </w:p>
        </w:tc>
      </w:tr>
      <w:tr w:rsidR="00935FE7" w:rsidRPr="004414DC" w14:paraId="71EA1187" w14:textId="77777777" w:rsidTr="00CF6405">
        <w:trPr>
          <w:trHeight w:val="513"/>
          <w:jc w:val="center"/>
        </w:trPr>
        <w:tc>
          <w:tcPr>
            <w:tcW w:w="272" w:type="dxa"/>
          </w:tcPr>
          <w:p w14:paraId="22741699" w14:textId="77777777" w:rsidR="00935FE7" w:rsidRPr="004414DC" w:rsidRDefault="00935FE7">
            <w:pPr>
              <w:pStyle w:val="BodyText"/>
              <w:spacing w:after="120"/>
              <w:rPr>
                <w:rFonts w:cs="Arial"/>
                <w:spacing w:val="-3"/>
                <w:highlight w:val="yellow"/>
              </w:rPr>
            </w:pPr>
          </w:p>
        </w:tc>
        <w:tc>
          <w:tcPr>
            <w:tcW w:w="5174" w:type="dxa"/>
          </w:tcPr>
          <w:p w14:paraId="5A93B1B7" w14:textId="3A462F0D" w:rsidR="00935FE7" w:rsidRPr="00C77AD7" w:rsidRDefault="00F115AC" w:rsidP="00A753F3">
            <w:pPr>
              <w:pStyle w:val="BodyText"/>
              <w:spacing w:after="120"/>
              <w:jc w:val="left"/>
              <w:rPr>
                <w:rFonts w:cs="Arial"/>
                <w:spacing w:val="-3"/>
              </w:rPr>
            </w:pPr>
            <w:r>
              <w:rPr>
                <w:rFonts w:cs="Arial"/>
                <w:spacing w:val="-3"/>
              </w:rPr>
              <w:t>Plus,</w:t>
            </w:r>
            <w:r w:rsidRPr="00C77AD7">
              <w:rPr>
                <w:rFonts w:cs="Arial"/>
                <w:spacing w:val="-3"/>
              </w:rPr>
              <w:t xml:space="preserve"> ½</w:t>
            </w:r>
            <w:r w:rsidR="003366A7" w:rsidRPr="00C77AD7">
              <w:rPr>
                <w:rFonts w:cs="Arial"/>
                <w:spacing w:val="-3"/>
              </w:rPr>
              <w:t xml:space="preserve"> Year Interest Adjustment</w:t>
            </w:r>
          </w:p>
        </w:tc>
        <w:tc>
          <w:tcPr>
            <w:tcW w:w="360" w:type="dxa"/>
          </w:tcPr>
          <w:p w14:paraId="6F1593EB" w14:textId="77777777" w:rsidR="00935FE7" w:rsidRPr="00C11E3C" w:rsidRDefault="00935FE7">
            <w:pPr>
              <w:pStyle w:val="BodyText"/>
              <w:spacing w:after="120"/>
              <w:rPr>
                <w:rFonts w:cs="Arial"/>
                <w:spacing w:val="-3"/>
              </w:rPr>
            </w:pPr>
          </w:p>
        </w:tc>
        <w:tc>
          <w:tcPr>
            <w:tcW w:w="1846" w:type="dxa"/>
          </w:tcPr>
          <w:p w14:paraId="29D8816E" w14:textId="69F3B521" w:rsidR="00935FE7" w:rsidRPr="00362027" w:rsidRDefault="00CF6405" w:rsidP="00CF6405">
            <w:pPr>
              <w:pStyle w:val="BodyText"/>
              <w:tabs>
                <w:tab w:val="left" w:pos="348"/>
                <w:tab w:val="left" w:pos="492"/>
              </w:tabs>
              <w:spacing w:after="120"/>
              <w:jc w:val="right"/>
              <w:rPr>
                <w:rFonts w:cs="Arial"/>
                <w:spacing w:val="-3"/>
                <w:u w:val="single"/>
              </w:rPr>
            </w:pPr>
            <w:r w:rsidRPr="00362027">
              <w:rPr>
                <w:rFonts w:cs="Arial"/>
                <w:spacing w:val="-3"/>
                <w:u w:val="single"/>
              </w:rPr>
              <w:t xml:space="preserve">     </w:t>
            </w:r>
            <w:r w:rsidR="00F67D93" w:rsidRPr="00362027">
              <w:rPr>
                <w:rFonts w:cs="Arial"/>
                <w:spacing w:val="-3"/>
                <w:u w:val="single"/>
              </w:rPr>
              <w:t xml:space="preserve">   </w:t>
            </w:r>
            <w:r w:rsidR="00A26806" w:rsidRPr="00362027">
              <w:rPr>
                <w:rFonts w:cs="Arial"/>
                <w:spacing w:val="-3"/>
                <w:u w:val="single"/>
              </w:rPr>
              <w:t>199,840</w:t>
            </w:r>
          </w:p>
        </w:tc>
      </w:tr>
      <w:tr w:rsidR="003366A7" w:rsidRPr="006816FD" w14:paraId="5A0E1EBC" w14:textId="77777777" w:rsidTr="00DC5D4C">
        <w:trPr>
          <w:jc w:val="center"/>
        </w:trPr>
        <w:tc>
          <w:tcPr>
            <w:tcW w:w="272" w:type="dxa"/>
          </w:tcPr>
          <w:p w14:paraId="3BAF6D91" w14:textId="77777777" w:rsidR="003366A7" w:rsidRPr="004414DC" w:rsidRDefault="003366A7">
            <w:pPr>
              <w:pStyle w:val="BodyText"/>
              <w:spacing w:after="120"/>
              <w:rPr>
                <w:rFonts w:cs="Arial"/>
                <w:spacing w:val="-3"/>
                <w:highlight w:val="yellow"/>
              </w:rPr>
            </w:pPr>
          </w:p>
        </w:tc>
        <w:tc>
          <w:tcPr>
            <w:tcW w:w="5174" w:type="dxa"/>
          </w:tcPr>
          <w:p w14:paraId="540B2186" w14:textId="5C507959" w:rsidR="003366A7" w:rsidRPr="00C77AD7" w:rsidRDefault="00CF6405" w:rsidP="00A753F3">
            <w:pPr>
              <w:pStyle w:val="BodyText"/>
              <w:spacing w:after="120"/>
              <w:jc w:val="left"/>
              <w:rPr>
                <w:rFonts w:cs="Arial"/>
                <w:spacing w:val="-3"/>
              </w:rPr>
            </w:pPr>
            <w:r>
              <w:rPr>
                <w:rFonts w:cs="Arial"/>
                <w:spacing w:val="-3"/>
              </w:rPr>
              <w:t>M</w:t>
            </w:r>
            <w:r w:rsidR="003366A7" w:rsidRPr="00C77AD7">
              <w:rPr>
                <w:rFonts w:cs="Arial"/>
                <w:spacing w:val="-3"/>
              </w:rPr>
              <w:t>ARTA Cost (Includes Interest Adjustment)</w:t>
            </w:r>
            <w:r w:rsidR="004B3117" w:rsidRPr="00C77AD7">
              <w:rPr>
                <w:rFonts w:cs="Arial"/>
                <w:spacing w:val="-3"/>
              </w:rPr>
              <w:t xml:space="preserve"> </w:t>
            </w:r>
          </w:p>
        </w:tc>
        <w:tc>
          <w:tcPr>
            <w:tcW w:w="360" w:type="dxa"/>
          </w:tcPr>
          <w:p w14:paraId="4A120751" w14:textId="77777777" w:rsidR="003366A7" w:rsidRPr="00C11E3C" w:rsidRDefault="003366A7" w:rsidP="004B3117">
            <w:pPr>
              <w:pStyle w:val="BodyText"/>
              <w:spacing w:after="120"/>
              <w:ind w:right="-468"/>
              <w:rPr>
                <w:rFonts w:cs="Arial"/>
                <w:spacing w:val="-3"/>
              </w:rPr>
            </w:pPr>
          </w:p>
        </w:tc>
        <w:tc>
          <w:tcPr>
            <w:tcW w:w="1846" w:type="dxa"/>
          </w:tcPr>
          <w:p w14:paraId="30AF8F02" w14:textId="787D5420" w:rsidR="003366A7" w:rsidRPr="003F7823" w:rsidRDefault="004B3117" w:rsidP="00CF6405">
            <w:pPr>
              <w:pStyle w:val="BodyText"/>
              <w:tabs>
                <w:tab w:val="left" w:pos="312"/>
                <w:tab w:val="left" w:pos="522"/>
              </w:tabs>
              <w:spacing w:after="120"/>
              <w:ind w:left="-288"/>
              <w:jc w:val="right"/>
              <w:rPr>
                <w:rFonts w:cs="Arial"/>
                <w:spacing w:val="-3"/>
              </w:rPr>
            </w:pPr>
            <w:r w:rsidRPr="00C11E3C">
              <w:rPr>
                <w:rFonts w:cs="Arial"/>
                <w:spacing w:val="-3"/>
              </w:rPr>
              <w:t xml:space="preserve"> </w:t>
            </w:r>
            <w:r w:rsidRPr="003F7823">
              <w:rPr>
                <w:rFonts w:cs="Arial"/>
                <w:spacing w:val="-3"/>
              </w:rPr>
              <w:t>$</w:t>
            </w:r>
            <w:r w:rsidR="00A26806">
              <w:rPr>
                <w:rFonts w:cs="Arial"/>
                <w:spacing w:val="-3"/>
              </w:rPr>
              <w:t xml:space="preserve"> </w:t>
            </w:r>
            <w:r w:rsidRPr="003F7823">
              <w:rPr>
                <w:rFonts w:cs="Arial"/>
                <w:spacing w:val="-3"/>
              </w:rPr>
              <w:t xml:space="preserve"> </w:t>
            </w:r>
            <w:r w:rsidR="00CF6405">
              <w:rPr>
                <w:rFonts w:cs="Arial"/>
                <w:spacing w:val="-3"/>
              </w:rPr>
              <w:t xml:space="preserve"> </w:t>
            </w:r>
            <w:r w:rsidR="00CF6405">
              <w:rPr>
                <w:rFonts w:cs="Arial"/>
                <w:spacing w:val="-3"/>
                <w:u w:val="double"/>
              </w:rPr>
              <w:t xml:space="preserve">     </w:t>
            </w:r>
            <w:r w:rsidR="00A26806" w:rsidRPr="00CF6405">
              <w:rPr>
                <w:rFonts w:cs="Arial"/>
                <w:b/>
                <w:bCs/>
                <w:spacing w:val="-3"/>
                <w:u w:val="double"/>
              </w:rPr>
              <w:t>7,565,325</w:t>
            </w:r>
          </w:p>
        </w:tc>
      </w:tr>
      <w:bookmarkEnd w:id="1"/>
      <w:bookmarkEnd w:id="2"/>
    </w:tbl>
    <w:p w14:paraId="6ABDF86C" w14:textId="77777777" w:rsidR="00935FE7" w:rsidRPr="006816FD" w:rsidRDefault="00935FE7">
      <w:pPr>
        <w:pStyle w:val="BodyText"/>
        <w:rPr>
          <w:rFonts w:cs="Arial"/>
          <w:spacing w:val="-3"/>
        </w:rPr>
      </w:pPr>
    </w:p>
    <w:p w14:paraId="14F0372E" w14:textId="4DEA3B01" w:rsidR="00935FE7" w:rsidRPr="006816FD" w:rsidRDefault="00F332AB">
      <w:pPr>
        <w:pStyle w:val="BodyText"/>
        <w:rPr>
          <w:rFonts w:cs="Arial"/>
          <w:spacing w:val="-3"/>
        </w:rPr>
      </w:pPr>
      <w:r w:rsidRPr="006816FD">
        <w:rPr>
          <w:rFonts w:cs="Arial"/>
          <w:spacing w:val="-3"/>
        </w:rPr>
        <w:t xml:space="preserve">The minimum MARTA contribution required by </w:t>
      </w:r>
      <w:r w:rsidR="003366A7" w:rsidRPr="006816FD">
        <w:rPr>
          <w:rFonts w:cs="Arial"/>
          <w:spacing w:val="-3"/>
        </w:rPr>
        <w:t>applicable</w:t>
      </w:r>
      <w:r w:rsidRPr="006816FD">
        <w:rPr>
          <w:rFonts w:cs="Arial"/>
          <w:spacing w:val="-3"/>
        </w:rPr>
        <w:t xml:space="preserve"> State</w:t>
      </w:r>
      <w:r w:rsidR="003366A7" w:rsidRPr="006816FD">
        <w:rPr>
          <w:rFonts w:cs="Arial"/>
          <w:spacing w:val="-3"/>
        </w:rPr>
        <w:t xml:space="preserve"> law</w:t>
      </w:r>
      <w:r w:rsidRPr="006816FD">
        <w:rPr>
          <w:rFonts w:cs="Arial"/>
          <w:spacing w:val="-3"/>
        </w:rPr>
        <w:t xml:space="preserve"> for the year beginning January 1, 20</w:t>
      </w:r>
      <w:r w:rsidR="00FA309A">
        <w:rPr>
          <w:rFonts w:cs="Arial"/>
          <w:spacing w:val="-3"/>
        </w:rPr>
        <w:t>2</w:t>
      </w:r>
      <w:r w:rsidR="00A26806">
        <w:rPr>
          <w:rFonts w:cs="Arial"/>
          <w:spacing w:val="-3"/>
        </w:rPr>
        <w:t>2</w:t>
      </w:r>
      <w:r w:rsidR="003366A7" w:rsidRPr="006816FD">
        <w:rPr>
          <w:rFonts w:cs="Arial"/>
          <w:spacing w:val="-3"/>
        </w:rPr>
        <w:t>,</w:t>
      </w:r>
      <w:r w:rsidRPr="006816FD">
        <w:rPr>
          <w:rFonts w:cs="Arial"/>
          <w:spacing w:val="-3"/>
        </w:rPr>
        <w:t xml:space="preserve"> is </w:t>
      </w:r>
      <w:r w:rsidR="00A26806" w:rsidRPr="00A26806">
        <w:rPr>
          <w:rFonts w:cs="Arial"/>
          <w:spacing w:val="-3"/>
        </w:rPr>
        <w:t>$7,565,325</w:t>
      </w:r>
      <w:r w:rsidR="00A26806" w:rsidRPr="00A26806" w:rsidDel="00A26806">
        <w:rPr>
          <w:rFonts w:cs="Arial"/>
          <w:spacing w:val="-3"/>
        </w:rPr>
        <w:t xml:space="preserve"> </w:t>
      </w:r>
      <w:r w:rsidRPr="006816FD">
        <w:rPr>
          <w:rFonts w:cs="Arial"/>
          <w:spacing w:val="-3"/>
        </w:rPr>
        <w:t>(</w:t>
      </w:r>
      <w:r w:rsidR="005868FC">
        <w:rPr>
          <w:rFonts w:cs="Arial"/>
          <w:spacing w:val="-3"/>
        </w:rPr>
        <w:t>including</w:t>
      </w:r>
      <w:r w:rsidRPr="006816FD">
        <w:rPr>
          <w:rFonts w:cs="Arial"/>
          <w:spacing w:val="-3"/>
        </w:rPr>
        <w:t xml:space="preserve"> ½ year’s interest)</w:t>
      </w:r>
      <w:r w:rsidR="007E027B" w:rsidRPr="006816FD">
        <w:rPr>
          <w:rFonts w:cs="Arial"/>
          <w:spacing w:val="-3"/>
        </w:rPr>
        <w:t xml:space="preserve">.  This </w:t>
      </w:r>
      <w:r w:rsidR="003366A7" w:rsidRPr="006816FD">
        <w:rPr>
          <w:rFonts w:cs="Arial"/>
          <w:spacing w:val="-3"/>
        </w:rPr>
        <w:t>minimum contribution is reviewed and</w:t>
      </w:r>
      <w:r w:rsidR="007E027B" w:rsidRPr="006816FD">
        <w:rPr>
          <w:rFonts w:cs="Arial"/>
          <w:spacing w:val="-3"/>
        </w:rPr>
        <w:t xml:space="preserve"> revised annually by the Plan </w:t>
      </w:r>
      <w:r w:rsidR="006265C3">
        <w:rPr>
          <w:rFonts w:cs="Arial"/>
          <w:spacing w:val="-3"/>
        </w:rPr>
        <w:t>A</w:t>
      </w:r>
      <w:r w:rsidR="007E027B" w:rsidRPr="006816FD">
        <w:rPr>
          <w:rFonts w:cs="Arial"/>
          <w:spacing w:val="-3"/>
        </w:rPr>
        <w:t>ctuary to reflect actual data changes and deviations from the actuarial assumptions, such as investment returns, salary increases and similar items.</w:t>
      </w:r>
    </w:p>
    <w:sectPr w:rsidR="00935FE7" w:rsidRPr="006816FD" w:rsidSect="0068619F">
      <w:headerReference w:type="default" r:id="rId15"/>
      <w:pgSz w:w="12240" w:h="15840"/>
      <w:pgMar w:top="720" w:right="1440" w:bottom="432"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F4C8C8" w14:textId="77777777" w:rsidR="009F4CFE" w:rsidRDefault="009F4CFE">
      <w:r>
        <w:separator/>
      </w:r>
    </w:p>
  </w:endnote>
  <w:endnote w:type="continuationSeparator" w:id="0">
    <w:p w14:paraId="6873409D" w14:textId="77777777" w:rsidR="009F4CFE" w:rsidRDefault="009F4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MT">
    <w:altName w:val="Arial"/>
    <w:panose1 w:val="00000000000000000000"/>
    <w:charset w:val="00"/>
    <w:family w:val="roman"/>
    <w:notTrueType/>
    <w:pitch w:val="default"/>
    <w:sig w:usb0="00000003" w:usb1="00000000" w:usb2="00000000" w:usb3="00000000" w:csb0="00000001" w:csb1="00000000"/>
  </w:font>
  <w:font w:name="ArialMT-Regular">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67310680"/>
      <w:docPartObj>
        <w:docPartGallery w:val="Page Numbers (Bottom of Page)"/>
        <w:docPartUnique/>
      </w:docPartObj>
    </w:sdtPr>
    <w:sdtContent>
      <w:sdt>
        <w:sdtPr>
          <w:id w:val="1728636285"/>
          <w:docPartObj>
            <w:docPartGallery w:val="Page Numbers (Top of Page)"/>
            <w:docPartUnique/>
          </w:docPartObj>
        </w:sdtPr>
        <w:sdtContent>
          <w:p w14:paraId="5D70B829" w14:textId="5B85A276" w:rsidR="00CF6405" w:rsidRDefault="00CF6405">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t>5</w:t>
            </w:r>
          </w:p>
        </w:sdtContent>
      </w:sdt>
    </w:sdtContent>
  </w:sdt>
  <w:p w14:paraId="6D188613" w14:textId="4A44875A" w:rsidR="00967012" w:rsidRPr="00CD2AF1" w:rsidRDefault="00967012" w:rsidP="00CD2A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497C4B" w14:textId="77777777" w:rsidR="009F4CFE" w:rsidRDefault="009F4CFE">
      <w:r>
        <w:separator/>
      </w:r>
    </w:p>
  </w:footnote>
  <w:footnote w:type="continuationSeparator" w:id="0">
    <w:p w14:paraId="64CBDA0B" w14:textId="77777777" w:rsidR="009F4CFE" w:rsidRDefault="009F4C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C1EBBA" w14:textId="77777777" w:rsidR="00967012" w:rsidRPr="00A35A10" w:rsidRDefault="00967012" w:rsidP="00A35A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A8AC8E" w14:textId="77777777" w:rsidR="00967012" w:rsidRPr="00CD2AF1" w:rsidRDefault="00967012" w:rsidP="00CD2A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A455D"/>
    <w:multiLevelType w:val="multilevel"/>
    <w:tmpl w:val="B0FC293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1026C0"/>
    <w:multiLevelType w:val="multilevel"/>
    <w:tmpl w:val="B0FC293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B9905C4"/>
    <w:multiLevelType w:val="hybridMultilevel"/>
    <w:tmpl w:val="0B02A838"/>
    <w:lvl w:ilvl="0" w:tplc="043CB05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E194BC0"/>
    <w:multiLevelType w:val="hybridMultilevel"/>
    <w:tmpl w:val="9C1ED7A4"/>
    <w:lvl w:ilvl="0" w:tplc="C7CA207C">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7971082"/>
    <w:multiLevelType w:val="multilevel"/>
    <w:tmpl w:val="B0FC293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0BD05DC"/>
    <w:multiLevelType w:val="hybridMultilevel"/>
    <w:tmpl w:val="115C52D2"/>
    <w:lvl w:ilvl="0" w:tplc="6C58D0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6F1A47"/>
    <w:multiLevelType w:val="hybridMultilevel"/>
    <w:tmpl w:val="D78E0620"/>
    <w:lvl w:ilvl="0" w:tplc="40E2A4D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3A50045"/>
    <w:multiLevelType w:val="hybridMultilevel"/>
    <w:tmpl w:val="18A4C14C"/>
    <w:lvl w:ilvl="0" w:tplc="CF384D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BCF7830"/>
    <w:multiLevelType w:val="hybridMultilevel"/>
    <w:tmpl w:val="B0FC29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8"/>
  </w:num>
  <w:num w:numId="3">
    <w:abstractNumId w:val="1"/>
  </w:num>
  <w:num w:numId="4">
    <w:abstractNumId w:val="0"/>
  </w:num>
  <w:num w:numId="5">
    <w:abstractNumId w:val="4"/>
  </w:num>
  <w:num w:numId="6">
    <w:abstractNumId w:val="6"/>
  </w:num>
  <w:num w:numId="7">
    <w:abstractNumId w:val="2"/>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InParaPopList" w:val="0"/>
  </w:docVars>
  <w:rsids>
    <w:rsidRoot w:val="00C70503"/>
    <w:rsid w:val="00000522"/>
    <w:rsid w:val="00003F6C"/>
    <w:rsid w:val="000056FC"/>
    <w:rsid w:val="00010FDA"/>
    <w:rsid w:val="00011231"/>
    <w:rsid w:val="00012A66"/>
    <w:rsid w:val="000156A9"/>
    <w:rsid w:val="0002112A"/>
    <w:rsid w:val="0002407F"/>
    <w:rsid w:val="0002417C"/>
    <w:rsid w:val="0002542E"/>
    <w:rsid w:val="00026B6D"/>
    <w:rsid w:val="00031D2E"/>
    <w:rsid w:val="00032598"/>
    <w:rsid w:val="00037121"/>
    <w:rsid w:val="0003725B"/>
    <w:rsid w:val="00037924"/>
    <w:rsid w:val="000407B4"/>
    <w:rsid w:val="00044391"/>
    <w:rsid w:val="000605DF"/>
    <w:rsid w:val="00067224"/>
    <w:rsid w:val="00082DA0"/>
    <w:rsid w:val="000838A3"/>
    <w:rsid w:val="00092E6B"/>
    <w:rsid w:val="00093C6B"/>
    <w:rsid w:val="000A67FB"/>
    <w:rsid w:val="000B182C"/>
    <w:rsid w:val="000B6762"/>
    <w:rsid w:val="000C72A0"/>
    <w:rsid w:val="000D1FB8"/>
    <w:rsid w:val="000D65AF"/>
    <w:rsid w:val="000F1BA1"/>
    <w:rsid w:val="000F3277"/>
    <w:rsid w:val="000F5DB1"/>
    <w:rsid w:val="00100F40"/>
    <w:rsid w:val="00104337"/>
    <w:rsid w:val="001203B8"/>
    <w:rsid w:val="00121133"/>
    <w:rsid w:val="00122AEC"/>
    <w:rsid w:val="00130EAE"/>
    <w:rsid w:val="001373A5"/>
    <w:rsid w:val="00141E2A"/>
    <w:rsid w:val="00145DEE"/>
    <w:rsid w:val="00151064"/>
    <w:rsid w:val="00152871"/>
    <w:rsid w:val="00153319"/>
    <w:rsid w:val="00156390"/>
    <w:rsid w:val="00156A6A"/>
    <w:rsid w:val="00160649"/>
    <w:rsid w:val="00162B14"/>
    <w:rsid w:val="00162E86"/>
    <w:rsid w:val="0016548A"/>
    <w:rsid w:val="00172AAF"/>
    <w:rsid w:val="001765DF"/>
    <w:rsid w:val="001958B3"/>
    <w:rsid w:val="00197261"/>
    <w:rsid w:val="001A0377"/>
    <w:rsid w:val="001A1CF0"/>
    <w:rsid w:val="001A468F"/>
    <w:rsid w:val="001A513D"/>
    <w:rsid w:val="001A56A4"/>
    <w:rsid w:val="001C1854"/>
    <w:rsid w:val="001C3DBF"/>
    <w:rsid w:val="001C6FC7"/>
    <w:rsid w:val="001D5BE3"/>
    <w:rsid w:val="001E3E77"/>
    <w:rsid w:val="001F4B94"/>
    <w:rsid w:val="001F54AB"/>
    <w:rsid w:val="001F6EEC"/>
    <w:rsid w:val="0020201B"/>
    <w:rsid w:val="002065A9"/>
    <w:rsid w:val="00207436"/>
    <w:rsid w:val="0021702D"/>
    <w:rsid w:val="00222307"/>
    <w:rsid w:val="0022291A"/>
    <w:rsid w:val="0022608A"/>
    <w:rsid w:val="00230C71"/>
    <w:rsid w:val="00231A95"/>
    <w:rsid w:val="00232616"/>
    <w:rsid w:val="00240384"/>
    <w:rsid w:val="00244C45"/>
    <w:rsid w:val="00247F58"/>
    <w:rsid w:val="00250DB3"/>
    <w:rsid w:val="00254D3C"/>
    <w:rsid w:val="002550B1"/>
    <w:rsid w:val="0026177E"/>
    <w:rsid w:val="00264626"/>
    <w:rsid w:val="002725C2"/>
    <w:rsid w:val="0027615A"/>
    <w:rsid w:val="00276A67"/>
    <w:rsid w:val="00281C89"/>
    <w:rsid w:val="00281D14"/>
    <w:rsid w:val="00285F25"/>
    <w:rsid w:val="00286E7F"/>
    <w:rsid w:val="00287664"/>
    <w:rsid w:val="002A2153"/>
    <w:rsid w:val="002B0500"/>
    <w:rsid w:val="002B05D7"/>
    <w:rsid w:val="002B4920"/>
    <w:rsid w:val="002B6E88"/>
    <w:rsid w:val="002C7F3D"/>
    <w:rsid w:val="002D0A23"/>
    <w:rsid w:val="002D5494"/>
    <w:rsid w:val="002D732A"/>
    <w:rsid w:val="002E72BC"/>
    <w:rsid w:val="002E7494"/>
    <w:rsid w:val="002E76CC"/>
    <w:rsid w:val="002F2F02"/>
    <w:rsid w:val="002F3726"/>
    <w:rsid w:val="002F4525"/>
    <w:rsid w:val="002F5461"/>
    <w:rsid w:val="002F54EB"/>
    <w:rsid w:val="00301608"/>
    <w:rsid w:val="00307F6F"/>
    <w:rsid w:val="0031689C"/>
    <w:rsid w:val="00317074"/>
    <w:rsid w:val="003276A0"/>
    <w:rsid w:val="00327AA8"/>
    <w:rsid w:val="0033418F"/>
    <w:rsid w:val="00335703"/>
    <w:rsid w:val="003366A7"/>
    <w:rsid w:val="0034124D"/>
    <w:rsid w:val="003430F7"/>
    <w:rsid w:val="0035438B"/>
    <w:rsid w:val="00357677"/>
    <w:rsid w:val="00357BA3"/>
    <w:rsid w:val="00362027"/>
    <w:rsid w:val="003728B1"/>
    <w:rsid w:val="00373E21"/>
    <w:rsid w:val="0039157C"/>
    <w:rsid w:val="00396BB6"/>
    <w:rsid w:val="00397D7F"/>
    <w:rsid w:val="00397EEC"/>
    <w:rsid w:val="003A0EC6"/>
    <w:rsid w:val="003A37DB"/>
    <w:rsid w:val="003B31D6"/>
    <w:rsid w:val="003C08A7"/>
    <w:rsid w:val="003C5637"/>
    <w:rsid w:val="003C7DDC"/>
    <w:rsid w:val="003D0E97"/>
    <w:rsid w:val="003D70CE"/>
    <w:rsid w:val="003D7470"/>
    <w:rsid w:val="003D77CE"/>
    <w:rsid w:val="003F11A5"/>
    <w:rsid w:val="003F76A8"/>
    <w:rsid w:val="003F7823"/>
    <w:rsid w:val="0040097F"/>
    <w:rsid w:val="00402881"/>
    <w:rsid w:val="00403692"/>
    <w:rsid w:val="00415071"/>
    <w:rsid w:val="00417A32"/>
    <w:rsid w:val="00423294"/>
    <w:rsid w:val="00427197"/>
    <w:rsid w:val="0043255D"/>
    <w:rsid w:val="00434AED"/>
    <w:rsid w:val="004357B0"/>
    <w:rsid w:val="00440741"/>
    <w:rsid w:val="004414DC"/>
    <w:rsid w:val="0045067C"/>
    <w:rsid w:val="00451EAB"/>
    <w:rsid w:val="00452D25"/>
    <w:rsid w:val="00453812"/>
    <w:rsid w:val="00455782"/>
    <w:rsid w:val="004579F8"/>
    <w:rsid w:val="004618E0"/>
    <w:rsid w:val="00462179"/>
    <w:rsid w:val="004623A0"/>
    <w:rsid w:val="00466838"/>
    <w:rsid w:val="00466AF9"/>
    <w:rsid w:val="00475A3D"/>
    <w:rsid w:val="004817C1"/>
    <w:rsid w:val="0048350C"/>
    <w:rsid w:val="004836FA"/>
    <w:rsid w:val="0048475B"/>
    <w:rsid w:val="0048714F"/>
    <w:rsid w:val="004906D0"/>
    <w:rsid w:val="00490B62"/>
    <w:rsid w:val="004926C0"/>
    <w:rsid w:val="00492981"/>
    <w:rsid w:val="004955FF"/>
    <w:rsid w:val="00495FBD"/>
    <w:rsid w:val="004A2661"/>
    <w:rsid w:val="004A409E"/>
    <w:rsid w:val="004A4650"/>
    <w:rsid w:val="004A6583"/>
    <w:rsid w:val="004A7CED"/>
    <w:rsid w:val="004B258A"/>
    <w:rsid w:val="004B3117"/>
    <w:rsid w:val="004C4677"/>
    <w:rsid w:val="004E04B5"/>
    <w:rsid w:val="004E3B10"/>
    <w:rsid w:val="004F4434"/>
    <w:rsid w:val="004F647C"/>
    <w:rsid w:val="00500298"/>
    <w:rsid w:val="00501F63"/>
    <w:rsid w:val="00507E5A"/>
    <w:rsid w:val="00511C1C"/>
    <w:rsid w:val="00511E7A"/>
    <w:rsid w:val="00516BFC"/>
    <w:rsid w:val="00516CE1"/>
    <w:rsid w:val="0052250C"/>
    <w:rsid w:val="00523966"/>
    <w:rsid w:val="00523A76"/>
    <w:rsid w:val="005329F4"/>
    <w:rsid w:val="005346B9"/>
    <w:rsid w:val="00542510"/>
    <w:rsid w:val="0054726B"/>
    <w:rsid w:val="005478BE"/>
    <w:rsid w:val="00554E5C"/>
    <w:rsid w:val="005625ED"/>
    <w:rsid w:val="00564862"/>
    <w:rsid w:val="00564F14"/>
    <w:rsid w:val="00572771"/>
    <w:rsid w:val="0057315A"/>
    <w:rsid w:val="00577944"/>
    <w:rsid w:val="005831AA"/>
    <w:rsid w:val="00584C3C"/>
    <w:rsid w:val="005868FC"/>
    <w:rsid w:val="00597199"/>
    <w:rsid w:val="005A58F8"/>
    <w:rsid w:val="005B12AA"/>
    <w:rsid w:val="005B46F3"/>
    <w:rsid w:val="005B5689"/>
    <w:rsid w:val="005B6C41"/>
    <w:rsid w:val="005B7E22"/>
    <w:rsid w:val="005C1E00"/>
    <w:rsid w:val="005D1843"/>
    <w:rsid w:val="005D3289"/>
    <w:rsid w:val="005D651E"/>
    <w:rsid w:val="005F068C"/>
    <w:rsid w:val="005F6675"/>
    <w:rsid w:val="005F6DDE"/>
    <w:rsid w:val="006011F1"/>
    <w:rsid w:val="00602B35"/>
    <w:rsid w:val="00603F09"/>
    <w:rsid w:val="006141CB"/>
    <w:rsid w:val="00620618"/>
    <w:rsid w:val="00624449"/>
    <w:rsid w:val="006265C3"/>
    <w:rsid w:val="00633375"/>
    <w:rsid w:val="00636180"/>
    <w:rsid w:val="00636B32"/>
    <w:rsid w:val="006455E6"/>
    <w:rsid w:val="00655982"/>
    <w:rsid w:val="00660420"/>
    <w:rsid w:val="0066247A"/>
    <w:rsid w:val="00673255"/>
    <w:rsid w:val="006816FD"/>
    <w:rsid w:val="0068619F"/>
    <w:rsid w:val="006877E8"/>
    <w:rsid w:val="006878A2"/>
    <w:rsid w:val="006930C0"/>
    <w:rsid w:val="00695960"/>
    <w:rsid w:val="006959D9"/>
    <w:rsid w:val="006979B8"/>
    <w:rsid w:val="006A12DE"/>
    <w:rsid w:val="006A3EBD"/>
    <w:rsid w:val="006B7017"/>
    <w:rsid w:val="006B7C76"/>
    <w:rsid w:val="006C63F3"/>
    <w:rsid w:val="006D278D"/>
    <w:rsid w:val="006D3419"/>
    <w:rsid w:val="006D3771"/>
    <w:rsid w:val="006E06B0"/>
    <w:rsid w:val="006F0CF0"/>
    <w:rsid w:val="006F0E2E"/>
    <w:rsid w:val="006F275E"/>
    <w:rsid w:val="006F3E09"/>
    <w:rsid w:val="0070125D"/>
    <w:rsid w:val="007068FB"/>
    <w:rsid w:val="00715E4F"/>
    <w:rsid w:val="00716DED"/>
    <w:rsid w:val="00720F70"/>
    <w:rsid w:val="00725410"/>
    <w:rsid w:val="007322DA"/>
    <w:rsid w:val="00733404"/>
    <w:rsid w:val="0073705D"/>
    <w:rsid w:val="00741BA5"/>
    <w:rsid w:val="00742552"/>
    <w:rsid w:val="00750FCB"/>
    <w:rsid w:val="00770706"/>
    <w:rsid w:val="00774179"/>
    <w:rsid w:val="00781B9B"/>
    <w:rsid w:val="00782767"/>
    <w:rsid w:val="0078327F"/>
    <w:rsid w:val="00786DD0"/>
    <w:rsid w:val="007877EB"/>
    <w:rsid w:val="00792F55"/>
    <w:rsid w:val="007A47D3"/>
    <w:rsid w:val="007B0E54"/>
    <w:rsid w:val="007B28AB"/>
    <w:rsid w:val="007B312F"/>
    <w:rsid w:val="007B3FF8"/>
    <w:rsid w:val="007B746A"/>
    <w:rsid w:val="007C270D"/>
    <w:rsid w:val="007C4541"/>
    <w:rsid w:val="007D7559"/>
    <w:rsid w:val="007E027B"/>
    <w:rsid w:val="007E1DBF"/>
    <w:rsid w:val="007E32D6"/>
    <w:rsid w:val="007E41CA"/>
    <w:rsid w:val="007E76C4"/>
    <w:rsid w:val="007F5A1D"/>
    <w:rsid w:val="00801D69"/>
    <w:rsid w:val="00802DA7"/>
    <w:rsid w:val="00817736"/>
    <w:rsid w:val="00823263"/>
    <w:rsid w:val="00833005"/>
    <w:rsid w:val="00833555"/>
    <w:rsid w:val="00833739"/>
    <w:rsid w:val="008338DD"/>
    <w:rsid w:val="008341B7"/>
    <w:rsid w:val="008369C4"/>
    <w:rsid w:val="00851475"/>
    <w:rsid w:val="00854826"/>
    <w:rsid w:val="00864C2A"/>
    <w:rsid w:val="008655D1"/>
    <w:rsid w:val="00866B59"/>
    <w:rsid w:val="008705EE"/>
    <w:rsid w:val="00874247"/>
    <w:rsid w:val="0087578B"/>
    <w:rsid w:val="00880CFE"/>
    <w:rsid w:val="00887496"/>
    <w:rsid w:val="008A3859"/>
    <w:rsid w:val="008A715A"/>
    <w:rsid w:val="008B1D04"/>
    <w:rsid w:val="008B349C"/>
    <w:rsid w:val="008B465E"/>
    <w:rsid w:val="008C5618"/>
    <w:rsid w:val="008D7DDA"/>
    <w:rsid w:val="008E0195"/>
    <w:rsid w:val="008E315F"/>
    <w:rsid w:val="008E60FC"/>
    <w:rsid w:val="00915CC1"/>
    <w:rsid w:val="00922414"/>
    <w:rsid w:val="00925C9D"/>
    <w:rsid w:val="009266A8"/>
    <w:rsid w:val="00927386"/>
    <w:rsid w:val="0093339F"/>
    <w:rsid w:val="00933DEC"/>
    <w:rsid w:val="00935FE7"/>
    <w:rsid w:val="00942A99"/>
    <w:rsid w:val="00943EA7"/>
    <w:rsid w:val="00950662"/>
    <w:rsid w:val="0095239E"/>
    <w:rsid w:val="00962286"/>
    <w:rsid w:val="009643B1"/>
    <w:rsid w:val="00967012"/>
    <w:rsid w:val="00967B5F"/>
    <w:rsid w:val="009721D3"/>
    <w:rsid w:val="0097378B"/>
    <w:rsid w:val="00974287"/>
    <w:rsid w:val="00974DE0"/>
    <w:rsid w:val="00977AAD"/>
    <w:rsid w:val="00984E65"/>
    <w:rsid w:val="00985A24"/>
    <w:rsid w:val="009869F3"/>
    <w:rsid w:val="00990286"/>
    <w:rsid w:val="00992EDD"/>
    <w:rsid w:val="009A7C98"/>
    <w:rsid w:val="009B1FF5"/>
    <w:rsid w:val="009B2B39"/>
    <w:rsid w:val="009D3A9B"/>
    <w:rsid w:val="009D6FBA"/>
    <w:rsid w:val="009D7C99"/>
    <w:rsid w:val="009E2DBF"/>
    <w:rsid w:val="009F036D"/>
    <w:rsid w:val="009F4CFE"/>
    <w:rsid w:val="009F57B3"/>
    <w:rsid w:val="009F7418"/>
    <w:rsid w:val="00A053D6"/>
    <w:rsid w:val="00A0657C"/>
    <w:rsid w:val="00A12A87"/>
    <w:rsid w:val="00A1487A"/>
    <w:rsid w:val="00A15A0E"/>
    <w:rsid w:val="00A26806"/>
    <w:rsid w:val="00A26D68"/>
    <w:rsid w:val="00A31A06"/>
    <w:rsid w:val="00A32A8F"/>
    <w:rsid w:val="00A35A10"/>
    <w:rsid w:val="00A426EF"/>
    <w:rsid w:val="00A46954"/>
    <w:rsid w:val="00A511EF"/>
    <w:rsid w:val="00A515E3"/>
    <w:rsid w:val="00A53901"/>
    <w:rsid w:val="00A54A59"/>
    <w:rsid w:val="00A65245"/>
    <w:rsid w:val="00A70022"/>
    <w:rsid w:val="00A703CE"/>
    <w:rsid w:val="00A707CE"/>
    <w:rsid w:val="00A753F3"/>
    <w:rsid w:val="00A81C6A"/>
    <w:rsid w:val="00A843C9"/>
    <w:rsid w:val="00A85720"/>
    <w:rsid w:val="00A874E7"/>
    <w:rsid w:val="00A92FE7"/>
    <w:rsid w:val="00AA3F1A"/>
    <w:rsid w:val="00AA73F2"/>
    <w:rsid w:val="00AA7853"/>
    <w:rsid w:val="00AB40BF"/>
    <w:rsid w:val="00AB436E"/>
    <w:rsid w:val="00AC1074"/>
    <w:rsid w:val="00AC423A"/>
    <w:rsid w:val="00AC482E"/>
    <w:rsid w:val="00AC76CA"/>
    <w:rsid w:val="00AD0E08"/>
    <w:rsid w:val="00AE3AE2"/>
    <w:rsid w:val="00AF098A"/>
    <w:rsid w:val="00AF2C3D"/>
    <w:rsid w:val="00AF2F8D"/>
    <w:rsid w:val="00AF544B"/>
    <w:rsid w:val="00B16455"/>
    <w:rsid w:val="00B30225"/>
    <w:rsid w:val="00B32465"/>
    <w:rsid w:val="00B43138"/>
    <w:rsid w:val="00B54A59"/>
    <w:rsid w:val="00B55A29"/>
    <w:rsid w:val="00B627FE"/>
    <w:rsid w:val="00B72C2D"/>
    <w:rsid w:val="00B747D8"/>
    <w:rsid w:val="00B80B8E"/>
    <w:rsid w:val="00B835F6"/>
    <w:rsid w:val="00B92A65"/>
    <w:rsid w:val="00B9724D"/>
    <w:rsid w:val="00BA3B45"/>
    <w:rsid w:val="00BA75DF"/>
    <w:rsid w:val="00BA7E96"/>
    <w:rsid w:val="00BB24C3"/>
    <w:rsid w:val="00BC0FB1"/>
    <w:rsid w:val="00BC63A0"/>
    <w:rsid w:val="00BC75AC"/>
    <w:rsid w:val="00BC7BB6"/>
    <w:rsid w:val="00BD56CF"/>
    <w:rsid w:val="00BD5C2C"/>
    <w:rsid w:val="00BF423E"/>
    <w:rsid w:val="00C07154"/>
    <w:rsid w:val="00C071CA"/>
    <w:rsid w:val="00C07E05"/>
    <w:rsid w:val="00C109D6"/>
    <w:rsid w:val="00C10C9D"/>
    <w:rsid w:val="00C11E3C"/>
    <w:rsid w:val="00C201BB"/>
    <w:rsid w:val="00C231DB"/>
    <w:rsid w:val="00C2689F"/>
    <w:rsid w:val="00C27893"/>
    <w:rsid w:val="00C302F6"/>
    <w:rsid w:val="00C31BC2"/>
    <w:rsid w:val="00C32854"/>
    <w:rsid w:val="00C4052C"/>
    <w:rsid w:val="00C53DB5"/>
    <w:rsid w:val="00C555B8"/>
    <w:rsid w:val="00C64F07"/>
    <w:rsid w:val="00C70503"/>
    <w:rsid w:val="00C73B6E"/>
    <w:rsid w:val="00C758EC"/>
    <w:rsid w:val="00C75EAF"/>
    <w:rsid w:val="00C77AD7"/>
    <w:rsid w:val="00C81E5E"/>
    <w:rsid w:val="00C86E9B"/>
    <w:rsid w:val="00CB1BC1"/>
    <w:rsid w:val="00CB2C15"/>
    <w:rsid w:val="00CC243A"/>
    <w:rsid w:val="00CC3BB5"/>
    <w:rsid w:val="00CD2AF1"/>
    <w:rsid w:val="00CD2EF9"/>
    <w:rsid w:val="00CD6904"/>
    <w:rsid w:val="00CE2EAE"/>
    <w:rsid w:val="00CE3018"/>
    <w:rsid w:val="00CE657E"/>
    <w:rsid w:val="00CE7C6C"/>
    <w:rsid w:val="00CF11BE"/>
    <w:rsid w:val="00CF49CD"/>
    <w:rsid w:val="00CF6405"/>
    <w:rsid w:val="00CF6842"/>
    <w:rsid w:val="00D0003F"/>
    <w:rsid w:val="00D06564"/>
    <w:rsid w:val="00D07105"/>
    <w:rsid w:val="00D11425"/>
    <w:rsid w:val="00D11CF0"/>
    <w:rsid w:val="00D2759F"/>
    <w:rsid w:val="00D34DB7"/>
    <w:rsid w:val="00D360A9"/>
    <w:rsid w:val="00D36D98"/>
    <w:rsid w:val="00D41634"/>
    <w:rsid w:val="00D41AAB"/>
    <w:rsid w:val="00D42315"/>
    <w:rsid w:val="00D479D5"/>
    <w:rsid w:val="00D50C1A"/>
    <w:rsid w:val="00D52D41"/>
    <w:rsid w:val="00D65E29"/>
    <w:rsid w:val="00D703C0"/>
    <w:rsid w:val="00D70ABD"/>
    <w:rsid w:val="00D70BE1"/>
    <w:rsid w:val="00D8080A"/>
    <w:rsid w:val="00D80C1A"/>
    <w:rsid w:val="00D9064B"/>
    <w:rsid w:val="00D924E8"/>
    <w:rsid w:val="00D929BB"/>
    <w:rsid w:val="00D92BA8"/>
    <w:rsid w:val="00D92FBF"/>
    <w:rsid w:val="00D937F7"/>
    <w:rsid w:val="00D96120"/>
    <w:rsid w:val="00DA095F"/>
    <w:rsid w:val="00DA546A"/>
    <w:rsid w:val="00DB07D1"/>
    <w:rsid w:val="00DB147A"/>
    <w:rsid w:val="00DC005E"/>
    <w:rsid w:val="00DC1E82"/>
    <w:rsid w:val="00DC285A"/>
    <w:rsid w:val="00DC58F5"/>
    <w:rsid w:val="00DC5D4C"/>
    <w:rsid w:val="00DD2C43"/>
    <w:rsid w:val="00DD72C3"/>
    <w:rsid w:val="00DE0EB2"/>
    <w:rsid w:val="00DE5A49"/>
    <w:rsid w:val="00DF21A7"/>
    <w:rsid w:val="00DF7CBD"/>
    <w:rsid w:val="00E03552"/>
    <w:rsid w:val="00E04603"/>
    <w:rsid w:val="00E06F1B"/>
    <w:rsid w:val="00E16AA3"/>
    <w:rsid w:val="00E17401"/>
    <w:rsid w:val="00E24FD6"/>
    <w:rsid w:val="00E334F2"/>
    <w:rsid w:val="00E34F67"/>
    <w:rsid w:val="00E44ED2"/>
    <w:rsid w:val="00E50D93"/>
    <w:rsid w:val="00E522C3"/>
    <w:rsid w:val="00E56470"/>
    <w:rsid w:val="00E65103"/>
    <w:rsid w:val="00E67040"/>
    <w:rsid w:val="00E72D7A"/>
    <w:rsid w:val="00E73776"/>
    <w:rsid w:val="00E742A2"/>
    <w:rsid w:val="00E80A40"/>
    <w:rsid w:val="00E813E2"/>
    <w:rsid w:val="00E81AC1"/>
    <w:rsid w:val="00E823B7"/>
    <w:rsid w:val="00E82B81"/>
    <w:rsid w:val="00E84417"/>
    <w:rsid w:val="00E86635"/>
    <w:rsid w:val="00E90151"/>
    <w:rsid w:val="00EA7AAC"/>
    <w:rsid w:val="00EB1A78"/>
    <w:rsid w:val="00EB1C87"/>
    <w:rsid w:val="00EB67EF"/>
    <w:rsid w:val="00EC38AE"/>
    <w:rsid w:val="00EC438E"/>
    <w:rsid w:val="00EC49CE"/>
    <w:rsid w:val="00EC604B"/>
    <w:rsid w:val="00EC746D"/>
    <w:rsid w:val="00ED1704"/>
    <w:rsid w:val="00ED444A"/>
    <w:rsid w:val="00EE0AF6"/>
    <w:rsid w:val="00EE2229"/>
    <w:rsid w:val="00EE33B4"/>
    <w:rsid w:val="00EE71AB"/>
    <w:rsid w:val="00EE7FA1"/>
    <w:rsid w:val="00EF302C"/>
    <w:rsid w:val="00EF6130"/>
    <w:rsid w:val="00F02634"/>
    <w:rsid w:val="00F076AE"/>
    <w:rsid w:val="00F115AC"/>
    <w:rsid w:val="00F124B8"/>
    <w:rsid w:val="00F134A5"/>
    <w:rsid w:val="00F155BB"/>
    <w:rsid w:val="00F207FE"/>
    <w:rsid w:val="00F2107B"/>
    <w:rsid w:val="00F211D5"/>
    <w:rsid w:val="00F22A73"/>
    <w:rsid w:val="00F332AB"/>
    <w:rsid w:val="00F35727"/>
    <w:rsid w:val="00F374F9"/>
    <w:rsid w:val="00F40EE1"/>
    <w:rsid w:val="00F41FD1"/>
    <w:rsid w:val="00F53C4B"/>
    <w:rsid w:val="00F5733B"/>
    <w:rsid w:val="00F678E9"/>
    <w:rsid w:val="00F67D93"/>
    <w:rsid w:val="00F7063B"/>
    <w:rsid w:val="00F71EAA"/>
    <w:rsid w:val="00F72FEB"/>
    <w:rsid w:val="00F77116"/>
    <w:rsid w:val="00F826D1"/>
    <w:rsid w:val="00F92BAD"/>
    <w:rsid w:val="00F94526"/>
    <w:rsid w:val="00F95CF4"/>
    <w:rsid w:val="00FA14B7"/>
    <w:rsid w:val="00FA1C9B"/>
    <w:rsid w:val="00FA309A"/>
    <w:rsid w:val="00FA4900"/>
    <w:rsid w:val="00FA7F3A"/>
    <w:rsid w:val="00FB7ED2"/>
    <w:rsid w:val="00FC4451"/>
    <w:rsid w:val="00FD44DE"/>
    <w:rsid w:val="00FE001B"/>
    <w:rsid w:val="00FE5544"/>
    <w:rsid w:val="00FE7529"/>
    <w:rsid w:val="00FF6D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F5E9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5A10"/>
    <w:rPr>
      <w:sz w:val="24"/>
    </w:rPr>
  </w:style>
  <w:style w:type="paragraph" w:styleId="Heading1">
    <w:name w:val="heading 1"/>
    <w:basedOn w:val="Normal"/>
    <w:next w:val="Normal"/>
    <w:qFormat/>
    <w:rsid w:val="007E027B"/>
    <w:pPr>
      <w:keepNext/>
      <w:spacing w:after="360"/>
      <w:jc w:val="center"/>
      <w:outlineLvl w:val="0"/>
    </w:pPr>
    <w:rPr>
      <w:rFonts w:ascii="Arial" w:hAnsi="Arial" w:cs="Arial"/>
      <w:b/>
      <w:sz w:val="22"/>
      <w:szCs w:val="22"/>
    </w:rPr>
  </w:style>
  <w:style w:type="paragraph" w:styleId="Heading3">
    <w:name w:val="heading 3"/>
    <w:basedOn w:val="Normal"/>
    <w:next w:val="Normal"/>
    <w:qFormat/>
    <w:rsid w:val="007E027B"/>
    <w:pPr>
      <w:keepNext/>
      <w:ind w:left="720"/>
      <w:outlineLvl w:val="2"/>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7E027B"/>
    <w:pPr>
      <w:spacing w:after="220" w:line="220" w:lineRule="atLeast"/>
      <w:jc w:val="both"/>
    </w:pPr>
    <w:rPr>
      <w:rFonts w:ascii="Arial" w:hAnsi="Arial"/>
      <w:spacing w:val="-5"/>
      <w:sz w:val="20"/>
    </w:rPr>
  </w:style>
  <w:style w:type="paragraph" w:styleId="BodyTextIndent">
    <w:name w:val="Body Text Indent"/>
    <w:basedOn w:val="Normal"/>
    <w:rsid w:val="007E027B"/>
    <w:pPr>
      <w:ind w:left="720"/>
    </w:pPr>
    <w:rPr>
      <w:rFonts w:ascii="Arial" w:hAnsi="Arial" w:cs="Arial"/>
      <w:sz w:val="22"/>
    </w:rPr>
  </w:style>
  <w:style w:type="paragraph" w:styleId="Footer">
    <w:name w:val="footer"/>
    <w:basedOn w:val="Normal"/>
    <w:link w:val="FooterChar"/>
    <w:uiPriority w:val="99"/>
    <w:rsid w:val="007E027B"/>
    <w:pPr>
      <w:tabs>
        <w:tab w:val="center" w:pos="4320"/>
        <w:tab w:val="right" w:pos="8640"/>
      </w:tabs>
    </w:pPr>
  </w:style>
  <w:style w:type="character" w:styleId="PageNumber">
    <w:name w:val="page number"/>
    <w:basedOn w:val="DefaultParagraphFont"/>
    <w:rsid w:val="007E027B"/>
  </w:style>
  <w:style w:type="paragraph" w:styleId="Header">
    <w:name w:val="header"/>
    <w:basedOn w:val="Normal"/>
    <w:rsid w:val="007E027B"/>
    <w:pPr>
      <w:tabs>
        <w:tab w:val="center" w:pos="4320"/>
        <w:tab w:val="right" w:pos="8640"/>
      </w:tabs>
    </w:pPr>
  </w:style>
  <w:style w:type="table" w:styleId="TableGrid">
    <w:name w:val="Table Grid"/>
    <w:basedOn w:val="TableNormal"/>
    <w:rsid w:val="00D937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3C5637"/>
    <w:rPr>
      <w:rFonts w:ascii="Tahoma" w:hAnsi="Tahoma" w:cs="Tahoma"/>
      <w:sz w:val="16"/>
      <w:szCs w:val="16"/>
    </w:rPr>
  </w:style>
  <w:style w:type="paragraph" w:styleId="NoSpacing">
    <w:name w:val="No Spacing"/>
    <w:link w:val="NoSpacingChar"/>
    <w:uiPriority w:val="1"/>
    <w:qFormat/>
    <w:rsid w:val="00281C89"/>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281C89"/>
    <w:rPr>
      <w:rFonts w:asciiTheme="minorHAnsi" w:eastAsiaTheme="minorEastAsia" w:hAnsiTheme="minorHAnsi" w:cstheme="minorBidi"/>
      <w:sz w:val="22"/>
      <w:szCs w:val="22"/>
    </w:rPr>
  </w:style>
  <w:style w:type="paragraph" w:customStyle="1" w:styleId="Default">
    <w:name w:val="Default"/>
    <w:rsid w:val="00E81AC1"/>
    <w:pPr>
      <w:autoSpaceDE w:val="0"/>
      <w:autoSpaceDN w:val="0"/>
      <w:adjustRightInd w:val="0"/>
    </w:pPr>
    <w:rPr>
      <w:rFonts w:ascii="Arial MT" w:eastAsiaTheme="minorHAnsi" w:hAnsi="Arial MT" w:cs="Arial MT"/>
      <w:color w:val="000000"/>
      <w:sz w:val="24"/>
      <w:szCs w:val="24"/>
    </w:rPr>
  </w:style>
  <w:style w:type="paragraph" w:styleId="ListParagraph">
    <w:name w:val="List Paragraph"/>
    <w:basedOn w:val="Normal"/>
    <w:uiPriority w:val="34"/>
    <w:qFormat/>
    <w:rsid w:val="00967B5F"/>
    <w:pPr>
      <w:ind w:left="720"/>
      <w:contextualSpacing/>
    </w:pPr>
  </w:style>
  <w:style w:type="character" w:styleId="CommentReference">
    <w:name w:val="annotation reference"/>
    <w:basedOn w:val="DefaultParagraphFont"/>
    <w:semiHidden/>
    <w:unhideWhenUsed/>
    <w:rsid w:val="003D70CE"/>
    <w:rPr>
      <w:sz w:val="16"/>
      <w:szCs w:val="16"/>
    </w:rPr>
  </w:style>
  <w:style w:type="paragraph" w:styleId="CommentText">
    <w:name w:val="annotation text"/>
    <w:basedOn w:val="Normal"/>
    <w:link w:val="CommentTextChar"/>
    <w:semiHidden/>
    <w:unhideWhenUsed/>
    <w:rsid w:val="003D70CE"/>
    <w:rPr>
      <w:sz w:val="20"/>
    </w:rPr>
  </w:style>
  <w:style w:type="character" w:customStyle="1" w:styleId="CommentTextChar">
    <w:name w:val="Comment Text Char"/>
    <w:basedOn w:val="DefaultParagraphFont"/>
    <w:link w:val="CommentText"/>
    <w:semiHidden/>
    <w:rsid w:val="003D70CE"/>
  </w:style>
  <w:style w:type="paragraph" w:styleId="CommentSubject">
    <w:name w:val="annotation subject"/>
    <w:basedOn w:val="CommentText"/>
    <w:next w:val="CommentText"/>
    <w:link w:val="CommentSubjectChar"/>
    <w:semiHidden/>
    <w:unhideWhenUsed/>
    <w:rsid w:val="003D70CE"/>
    <w:rPr>
      <w:b/>
      <w:bCs/>
    </w:rPr>
  </w:style>
  <w:style w:type="character" w:customStyle="1" w:styleId="CommentSubjectChar">
    <w:name w:val="Comment Subject Char"/>
    <w:basedOn w:val="CommentTextChar"/>
    <w:link w:val="CommentSubject"/>
    <w:semiHidden/>
    <w:rsid w:val="003D70CE"/>
    <w:rPr>
      <w:b/>
      <w:bCs/>
    </w:rPr>
  </w:style>
  <w:style w:type="character" w:customStyle="1" w:styleId="FooterChar">
    <w:name w:val="Footer Char"/>
    <w:basedOn w:val="DefaultParagraphFont"/>
    <w:link w:val="Footer"/>
    <w:uiPriority w:val="99"/>
    <w:rsid w:val="004817C1"/>
    <w:rPr>
      <w:sz w:val="24"/>
    </w:rPr>
  </w:style>
  <w:style w:type="paragraph" w:customStyle="1" w:styleId="TableParagraph">
    <w:name w:val="Table Paragraph"/>
    <w:basedOn w:val="Normal"/>
    <w:uiPriority w:val="1"/>
    <w:qFormat/>
    <w:rsid w:val="00B627FE"/>
    <w:pPr>
      <w:widowControl w:val="0"/>
      <w:autoSpaceDE w:val="0"/>
      <w:autoSpaceDN w:val="0"/>
    </w:pPr>
    <w:rPr>
      <w:rFonts w:ascii="Arial" w:eastAsia="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920345">
      <w:bodyDiv w:val="1"/>
      <w:marLeft w:val="0"/>
      <w:marRight w:val="0"/>
      <w:marTop w:val="0"/>
      <w:marBottom w:val="0"/>
      <w:divBdr>
        <w:top w:val="none" w:sz="0" w:space="0" w:color="auto"/>
        <w:left w:val="none" w:sz="0" w:space="0" w:color="auto"/>
        <w:bottom w:val="none" w:sz="0" w:space="0" w:color="auto"/>
        <w:right w:val="none" w:sz="0" w:space="0" w:color="auto"/>
      </w:divBdr>
    </w:div>
    <w:div w:id="248733911">
      <w:bodyDiv w:val="1"/>
      <w:marLeft w:val="0"/>
      <w:marRight w:val="0"/>
      <w:marTop w:val="0"/>
      <w:marBottom w:val="0"/>
      <w:divBdr>
        <w:top w:val="none" w:sz="0" w:space="0" w:color="auto"/>
        <w:left w:val="none" w:sz="0" w:space="0" w:color="auto"/>
        <w:bottom w:val="none" w:sz="0" w:space="0" w:color="auto"/>
        <w:right w:val="none" w:sz="0" w:space="0" w:color="auto"/>
      </w:divBdr>
    </w:div>
    <w:div w:id="325549752">
      <w:bodyDiv w:val="1"/>
      <w:marLeft w:val="0"/>
      <w:marRight w:val="0"/>
      <w:marTop w:val="0"/>
      <w:marBottom w:val="0"/>
      <w:divBdr>
        <w:top w:val="none" w:sz="0" w:space="0" w:color="auto"/>
        <w:left w:val="none" w:sz="0" w:space="0" w:color="auto"/>
        <w:bottom w:val="none" w:sz="0" w:space="0" w:color="auto"/>
        <w:right w:val="none" w:sz="0" w:space="0" w:color="auto"/>
      </w:divBdr>
    </w:div>
    <w:div w:id="690111471">
      <w:bodyDiv w:val="1"/>
      <w:marLeft w:val="0"/>
      <w:marRight w:val="0"/>
      <w:marTop w:val="0"/>
      <w:marBottom w:val="0"/>
      <w:divBdr>
        <w:top w:val="none" w:sz="0" w:space="0" w:color="auto"/>
        <w:left w:val="none" w:sz="0" w:space="0" w:color="auto"/>
        <w:bottom w:val="none" w:sz="0" w:space="0" w:color="auto"/>
        <w:right w:val="none" w:sz="0" w:space="0" w:color="auto"/>
      </w:divBdr>
    </w:div>
    <w:div w:id="736633529">
      <w:bodyDiv w:val="1"/>
      <w:marLeft w:val="0"/>
      <w:marRight w:val="0"/>
      <w:marTop w:val="0"/>
      <w:marBottom w:val="0"/>
      <w:divBdr>
        <w:top w:val="none" w:sz="0" w:space="0" w:color="auto"/>
        <w:left w:val="none" w:sz="0" w:space="0" w:color="auto"/>
        <w:bottom w:val="none" w:sz="0" w:space="0" w:color="auto"/>
        <w:right w:val="none" w:sz="0" w:space="0" w:color="auto"/>
      </w:divBdr>
    </w:div>
    <w:div w:id="843131632">
      <w:bodyDiv w:val="1"/>
      <w:marLeft w:val="0"/>
      <w:marRight w:val="0"/>
      <w:marTop w:val="0"/>
      <w:marBottom w:val="0"/>
      <w:divBdr>
        <w:top w:val="none" w:sz="0" w:space="0" w:color="auto"/>
        <w:left w:val="none" w:sz="0" w:space="0" w:color="auto"/>
        <w:bottom w:val="none" w:sz="0" w:space="0" w:color="auto"/>
        <w:right w:val="none" w:sz="0" w:space="0" w:color="auto"/>
      </w:divBdr>
    </w:div>
    <w:div w:id="892892620">
      <w:bodyDiv w:val="1"/>
      <w:marLeft w:val="0"/>
      <w:marRight w:val="0"/>
      <w:marTop w:val="0"/>
      <w:marBottom w:val="0"/>
      <w:divBdr>
        <w:top w:val="none" w:sz="0" w:space="0" w:color="auto"/>
        <w:left w:val="none" w:sz="0" w:space="0" w:color="auto"/>
        <w:bottom w:val="none" w:sz="0" w:space="0" w:color="auto"/>
        <w:right w:val="none" w:sz="0" w:space="0" w:color="auto"/>
      </w:divBdr>
    </w:div>
    <w:div w:id="959068033">
      <w:bodyDiv w:val="1"/>
      <w:marLeft w:val="0"/>
      <w:marRight w:val="0"/>
      <w:marTop w:val="0"/>
      <w:marBottom w:val="0"/>
      <w:divBdr>
        <w:top w:val="none" w:sz="0" w:space="0" w:color="auto"/>
        <w:left w:val="none" w:sz="0" w:space="0" w:color="auto"/>
        <w:bottom w:val="none" w:sz="0" w:space="0" w:color="auto"/>
        <w:right w:val="none" w:sz="0" w:space="0" w:color="auto"/>
      </w:divBdr>
    </w:div>
    <w:div w:id="1149204050">
      <w:bodyDiv w:val="1"/>
      <w:marLeft w:val="0"/>
      <w:marRight w:val="0"/>
      <w:marTop w:val="0"/>
      <w:marBottom w:val="0"/>
      <w:divBdr>
        <w:top w:val="none" w:sz="0" w:space="0" w:color="auto"/>
        <w:left w:val="none" w:sz="0" w:space="0" w:color="auto"/>
        <w:bottom w:val="none" w:sz="0" w:space="0" w:color="auto"/>
        <w:right w:val="none" w:sz="0" w:space="0" w:color="auto"/>
      </w:divBdr>
    </w:div>
    <w:div w:id="1224414593">
      <w:bodyDiv w:val="1"/>
      <w:marLeft w:val="0"/>
      <w:marRight w:val="0"/>
      <w:marTop w:val="0"/>
      <w:marBottom w:val="0"/>
      <w:divBdr>
        <w:top w:val="none" w:sz="0" w:space="0" w:color="auto"/>
        <w:left w:val="none" w:sz="0" w:space="0" w:color="auto"/>
        <w:bottom w:val="none" w:sz="0" w:space="0" w:color="auto"/>
        <w:right w:val="none" w:sz="0" w:space="0" w:color="auto"/>
      </w:divBdr>
    </w:div>
    <w:div w:id="1479885284">
      <w:bodyDiv w:val="1"/>
      <w:marLeft w:val="0"/>
      <w:marRight w:val="0"/>
      <w:marTop w:val="0"/>
      <w:marBottom w:val="0"/>
      <w:divBdr>
        <w:top w:val="none" w:sz="0" w:space="0" w:color="auto"/>
        <w:left w:val="none" w:sz="0" w:space="0" w:color="auto"/>
        <w:bottom w:val="none" w:sz="0" w:space="0" w:color="auto"/>
        <w:right w:val="none" w:sz="0" w:space="0" w:color="auto"/>
      </w:divBdr>
    </w:div>
    <w:div w:id="1481996757">
      <w:bodyDiv w:val="1"/>
      <w:marLeft w:val="0"/>
      <w:marRight w:val="0"/>
      <w:marTop w:val="0"/>
      <w:marBottom w:val="0"/>
      <w:divBdr>
        <w:top w:val="none" w:sz="0" w:space="0" w:color="auto"/>
        <w:left w:val="none" w:sz="0" w:space="0" w:color="auto"/>
        <w:bottom w:val="none" w:sz="0" w:space="0" w:color="auto"/>
        <w:right w:val="none" w:sz="0" w:space="0" w:color="auto"/>
      </w:divBdr>
    </w:div>
    <w:div w:id="1989238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70A544F-7636-47CB-9096-C95ECDFCB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944</Words>
  <Characters>5804</Characters>
  <Application>Microsoft Office Word</Application>
  <DocSecurity>2</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2022-10-10T19:21:00Z</dcterms:created>
  <dcterms:modified xsi:type="dcterms:W3CDTF">2022-10-10T20:31:00Z</dcterms:modified>
</cp:coreProperties>
</file>